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2FA89">
      <w:pPr>
        <w:widowControl/>
        <w:autoSpaceDE w:val="0"/>
        <w:autoSpaceDN w:val="0"/>
        <w:adjustRightInd w:val="0"/>
        <w:snapToGrid w:val="0"/>
        <w:spacing w:line="600" w:lineRule="atLeast"/>
        <w:textAlignment w:val="bottom"/>
        <w:rPr>
          <w:b/>
          <w:color w:val="FF0000"/>
          <w:szCs w:val="21"/>
        </w:rPr>
      </w:pPr>
      <w:r>
        <w:rPr>
          <w:rFonts w:hint="eastAsia"/>
          <w:b/>
          <w:kern w:val="0"/>
          <w:szCs w:val="21"/>
        </w:rPr>
        <w:t>本报告依据中国资产评估准则编制</w:t>
      </w:r>
    </w:p>
    <w:p w14:paraId="0D520DC6">
      <w:pPr>
        <w:rPr>
          <w:szCs w:val="21"/>
        </w:rPr>
      </w:pPr>
    </w:p>
    <w:p w14:paraId="1FE71AA8">
      <w:pPr>
        <w:rPr>
          <w:szCs w:val="21"/>
        </w:rPr>
      </w:pPr>
    </w:p>
    <w:p w14:paraId="7FF66967">
      <w:pPr>
        <w:rPr>
          <w:szCs w:val="21"/>
        </w:rPr>
      </w:pPr>
    </w:p>
    <w:p w14:paraId="2B369B5E">
      <w:pPr>
        <w:rPr>
          <w:szCs w:val="21"/>
        </w:rPr>
      </w:pPr>
    </w:p>
    <w:p w14:paraId="68F31DDE">
      <w:pPr>
        <w:rPr>
          <w:szCs w:val="21"/>
        </w:rPr>
      </w:pPr>
    </w:p>
    <w:p w14:paraId="51CDBABE">
      <w:pPr>
        <w:spacing w:line="360" w:lineRule="auto"/>
        <w:jc w:val="center"/>
        <w:rPr>
          <w:b/>
          <w:sz w:val="28"/>
          <w:szCs w:val="28"/>
        </w:rPr>
      </w:pPr>
      <w:r>
        <w:rPr>
          <w:rFonts w:hint="eastAsia"/>
          <w:b/>
          <w:sz w:val="28"/>
          <w:szCs w:val="28"/>
        </w:rPr>
        <w:t>中煤第五建设有限公司拟处置部分在用周转材料</w:t>
      </w:r>
    </w:p>
    <w:p w14:paraId="5C81F6D8">
      <w:pPr>
        <w:spacing w:line="360" w:lineRule="auto"/>
        <w:jc w:val="center"/>
        <w:rPr>
          <w:b/>
          <w:sz w:val="28"/>
          <w:szCs w:val="28"/>
        </w:rPr>
      </w:pPr>
      <w:r>
        <w:rPr>
          <w:rFonts w:hint="eastAsia"/>
          <w:b/>
          <w:sz w:val="28"/>
          <w:szCs w:val="28"/>
        </w:rPr>
        <w:t>的市场价值项目</w:t>
      </w:r>
    </w:p>
    <w:p w14:paraId="00E7A4EC">
      <w:pPr>
        <w:tabs>
          <w:tab w:val="left" w:pos="2160"/>
        </w:tabs>
        <w:spacing w:line="360" w:lineRule="auto"/>
        <w:jc w:val="center"/>
        <w:rPr>
          <w:b/>
          <w:sz w:val="36"/>
          <w:szCs w:val="36"/>
        </w:rPr>
      </w:pPr>
      <w:r>
        <w:rPr>
          <w:rFonts w:hint="eastAsia"/>
          <w:b/>
          <w:sz w:val="36"/>
          <w:szCs w:val="36"/>
        </w:rPr>
        <w:t>资产评估报告</w:t>
      </w:r>
    </w:p>
    <w:p w14:paraId="51AEAD27">
      <w:pPr>
        <w:spacing w:line="360" w:lineRule="auto"/>
        <w:jc w:val="center"/>
        <w:rPr>
          <w:szCs w:val="24"/>
        </w:rPr>
      </w:pPr>
      <w:r>
        <w:rPr>
          <w:rFonts w:hint="eastAsia"/>
          <w:szCs w:val="24"/>
        </w:rPr>
        <w:t>中致成评报字</w:t>
      </w:r>
      <w:r>
        <w:rPr>
          <w:szCs w:val="24"/>
        </w:rPr>
        <w:t>[202</w:t>
      </w:r>
      <w:r>
        <w:rPr>
          <w:rFonts w:hint="eastAsia"/>
          <w:szCs w:val="24"/>
        </w:rPr>
        <w:t>5</w:t>
      </w:r>
      <w:r>
        <w:rPr>
          <w:szCs w:val="24"/>
        </w:rPr>
        <w:t>]</w:t>
      </w:r>
      <w:r>
        <w:rPr>
          <w:rFonts w:hint="eastAsia"/>
          <w:szCs w:val="24"/>
        </w:rPr>
        <w:t>第0279号</w:t>
      </w:r>
    </w:p>
    <w:p w14:paraId="35358C95">
      <w:pPr>
        <w:tabs>
          <w:tab w:val="left" w:pos="2160"/>
        </w:tabs>
        <w:spacing w:line="360" w:lineRule="auto"/>
        <w:jc w:val="center"/>
        <w:rPr>
          <w:sz w:val="28"/>
          <w:szCs w:val="21"/>
        </w:rPr>
      </w:pPr>
      <w:r>
        <w:rPr>
          <w:rFonts w:hint="eastAsia"/>
          <w:sz w:val="28"/>
          <w:szCs w:val="21"/>
        </w:rPr>
        <w:t>（共一册，第一册）</w:t>
      </w:r>
    </w:p>
    <w:p w14:paraId="625F0625">
      <w:pPr>
        <w:tabs>
          <w:tab w:val="left" w:pos="2160"/>
        </w:tabs>
        <w:rPr>
          <w:szCs w:val="21"/>
        </w:rPr>
      </w:pPr>
      <w:r>
        <w:rPr>
          <w:szCs w:val="21"/>
        </w:rPr>
        <w:tab/>
      </w:r>
    </w:p>
    <w:p w14:paraId="727BA75C">
      <w:pPr>
        <w:rPr>
          <w:szCs w:val="21"/>
        </w:rPr>
      </w:pPr>
    </w:p>
    <w:p w14:paraId="0CD0602C">
      <w:pPr>
        <w:rPr>
          <w:szCs w:val="21"/>
        </w:rPr>
      </w:pPr>
    </w:p>
    <w:p w14:paraId="31063341">
      <w:pPr>
        <w:rPr>
          <w:sz w:val="28"/>
          <w:szCs w:val="28"/>
        </w:rPr>
      </w:pPr>
    </w:p>
    <w:p w14:paraId="55E91217">
      <w:pPr>
        <w:rPr>
          <w:szCs w:val="21"/>
        </w:rPr>
      </w:pPr>
    </w:p>
    <w:p w14:paraId="6967CF26">
      <w:pPr>
        <w:rPr>
          <w:szCs w:val="21"/>
        </w:rPr>
      </w:pPr>
    </w:p>
    <w:p w14:paraId="4E82D9FE">
      <w:pPr>
        <w:rPr>
          <w:szCs w:val="21"/>
        </w:rPr>
      </w:pPr>
    </w:p>
    <w:p w14:paraId="0CF1C26A">
      <w:pPr>
        <w:jc w:val="center"/>
        <w:rPr>
          <w:szCs w:val="21"/>
        </w:rPr>
      </w:pPr>
      <w:r>
        <w:rPr>
          <w:szCs w:val="21"/>
        </w:rPr>
        <w:drawing>
          <wp:inline distT="0" distB="0" distL="0" distR="0">
            <wp:extent cx="1569085" cy="1259840"/>
            <wp:effectExtent l="0" t="0" r="0" b="0"/>
            <wp:docPr id="55" name="图片 55" descr="C:\Users\Administrator\Desktop\中致成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C:\Users\Administrator\Desktop\中致成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569551" cy="1260000"/>
                    </a:xfrm>
                    <a:prstGeom prst="rect">
                      <a:avLst/>
                    </a:prstGeom>
                    <a:noFill/>
                    <a:ln>
                      <a:noFill/>
                    </a:ln>
                  </pic:spPr>
                </pic:pic>
              </a:graphicData>
            </a:graphic>
          </wp:inline>
        </w:drawing>
      </w:r>
    </w:p>
    <w:p w14:paraId="31BC0785">
      <w:pPr>
        <w:tabs>
          <w:tab w:val="left" w:pos="3624"/>
        </w:tabs>
        <w:rPr>
          <w:szCs w:val="21"/>
        </w:rPr>
      </w:pPr>
      <w:r>
        <w:rPr>
          <w:szCs w:val="21"/>
        </w:rPr>
        <w:tab/>
      </w:r>
    </w:p>
    <w:p w14:paraId="157936D6">
      <w:pPr>
        <w:rPr>
          <w:szCs w:val="21"/>
        </w:rPr>
      </w:pPr>
    </w:p>
    <w:p w14:paraId="66396816">
      <w:pPr>
        <w:rPr>
          <w:szCs w:val="21"/>
        </w:rPr>
      </w:pPr>
    </w:p>
    <w:p w14:paraId="435B049C">
      <w:pPr>
        <w:rPr>
          <w:szCs w:val="21"/>
        </w:rPr>
      </w:pPr>
    </w:p>
    <w:p w14:paraId="15CCAEBD">
      <w:pPr>
        <w:rPr>
          <w:szCs w:val="21"/>
        </w:rPr>
      </w:pPr>
    </w:p>
    <w:p w14:paraId="685848DF">
      <w:pPr>
        <w:rPr>
          <w:szCs w:val="21"/>
        </w:rPr>
      </w:pPr>
    </w:p>
    <w:p w14:paraId="1DF08667">
      <w:pPr>
        <w:rPr>
          <w:szCs w:val="21"/>
        </w:rPr>
      </w:pPr>
    </w:p>
    <w:p w14:paraId="2F60ECC5">
      <w:pPr>
        <w:pStyle w:val="2"/>
        <w:rPr>
          <w:szCs w:val="21"/>
        </w:rPr>
      </w:pPr>
    </w:p>
    <w:p w14:paraId="346802C1">
      <w:pPr>
        <w:rPr>
          <w:szCs w:val="21"/>
        </w:rPr>
      </w:pPr>
    </w:p>
    <w:p w14:paraId="153E8101">
      <w:pPr>
        <w:pStyle w:val="2"/>
      </w:pPr>
    </w:p>
    <w:p w14:paraId="19E7C381">
      <w:pPr>
        <w:rPr>
          <w:szCs w:val="21"/>
        </w:rPr>
      </w:pPr>
    </w:p>
    <w:p w14:paraId="6B43F1EB">
      <w:pPr>
        <w:tabs>
          <w:tab w:val="left" w:pos="1266"/>
        </w:tabs>
        <w:spacing w:line="360" w:lineRule="auto"/>
        <w:jc w:val="center"/>
        <w:rPr>
          <w:b/>
          <w:sz w:val="30"/>
          <w:szCs w:val="30"/>
        </w:rPr>
      </w:pPr>
      <w:bookmarkStart w:id="0" w:name="_Hlk187047684"/>
      <w:r>
        <w:rPr>
          <w:rFonts w:hint="eastAsia"/>
          <w:b/>
          <w:sz w:val="30"/>
          <w:szCs w:val="30"/>
        </w:rPr>
        <w:t>北京中致成国际资产评估有限公司</w:t>
      </w:r>
    </w:p>
    <w:p w14:paraId="28A4BE35">
      <w:pPr>
        <w:tabs>
          <w:tab w:val="left" w:pos="1266"/>
        </w:tabs>
        <w:spacing w:line="360" w:lineRule="auto"/>
        <w:jc w:val="center"/>
      </w:pPr>
      <w:r>
        <w:rPr>
          <w:b/>
          <w:sz w:val="30"/>
          <w:szCs w:val="30"/>
        </w:rPr>
        <w:t>202</w:t>
      </w:r>
      <w:r>
        <w:rPr>
          <w:rFonts w:hint="eastAsia"/>
          <w:b/>
          <w:sz w:val="30"/>
          <w:szCs w:val="30"/>
        </w:rPr>
        <w:t>5年11月4日</w:t>
      </w:r>
    </w:p>
    <w:p w14:paraId="5321B837">
      <w:pPr>
        <w:tabs>
          <w:tab w:val="left" w:pos="1266"/>
        </w:tabs>
        <w:spacing w:line="360" w:lineRule="auto"/>
        <w:jc w:val="center"/>
      </w:pPr>
    </w:p>
    <w:p w14:paraId="4FA50253">
      <w:pPr>
        <w:tabs>
          <w:tab w:val="left" w:pos="1266"/>
        </w:tabs>
        <w:jc w:val="center"/>
        <w:rPr>
          <w:b/>
          <w:sz w:val="28"/>
          <w:szCs w:val="28"/>
        </w:rPr>
      </w:pPr>
    </w:p>
    <w:p w14:paraId="08571D05">
      <w:pPr>
        <w:tabs>
          <w:tab w:val="left" w:pos="1266"/>
        </w:tabs>
        <w:jc w:val="center"/>
        <w:rPr>
          <w:b/>
          <w:sz w:val="28"/>
          <w:szCs w:val="28"/>
        </w:rPr>
        <w:sectPr>
          <w:footerReference r:id="rId5" w:type="first"/>
          <w:headerReference r:id="rId3" w:type="default"/>
          <w:footerReference r:id="rId4" w:type="default"/>
          <w:pgSz w:w="11906" w:h="16838"/>
          <w:pgMar w:top="1418" w:right="1474" w:bottom="1418" w:left="1474" w:header="794" w:footer="1123" w:gutter="0"/>
          <w:pgNumType w:start="1"/>
          <w:cols w:space="720" w:num="1"/>
          <w:titlePg/>
          <w:docGrid w:linePitch="450" w:charSpace="-4916"/>
        </w:sectPr>
      </w:pPr>
    </w:p>
    <w:p w14:paraId="11010DC1">
      <w:pPr>
        <w:pStyle w:val="2"/>
      </w:pPr>
    </w:p>
    <w:bookmarkEnd w:id="0"/>
    <w:p w14:paraId="70795CC8">
      <w:pPr>
        <w:spacing w:before="120" w:after="120"/>
        <w:jc w:val="center"/>
        <w:rPr>
          <w:b/>
          <w:sz w:val="36"/>
          <w:szCs w:val="36"/>
        </w:rPr>
      </w:pPr>
      <w:r>
        <w:rPr>
          <w:rFonts w:hint="eastAsia"/>
          <w:b/>
          <w:sz w:val="36"/>
          <w:szCs w:val="36"/>
        </w:rPr>
        <w:t>目</w:t>
      </w:r>
      <w:r>
        <w:rPr>
          <w:b/>
          <w:sz w:val="36"/>
          <w:szCs w:val="36"/>
        </w:rPr>
        <w:t xml:space="preserve">    </w:t>
      </w:r>
      <w:r>
        <w:rPr>
          <w:rFonts w:hint="eastAsia"/>
          <w:b/>
          <w:sz w:val="36"/>
          <w:szCs w:val="36"/>
        </w:rPr>
        <w:t>录</w:t>
      </w:r>
    </w:p>
    <w:p w14:paraId="7AE96348"/>
    <w:p w14:paraId="6692C075">
      <w:pPr>
        <w:pStyle w:val="28"/>
        <w:spacing w:line="520" w:lineRule="exact"/>
        <w:rPr>
          <w:rFonts w:ascii="Times New Roman" w:hAnsi="Times New Roman"/>
          <w:b/>
          <w:bCs/>
          <w:sz w:val="24"/>
          <w:szCs w:val="24"/>
        </w:rPr>
      </w:pPr>
      <w:r>
        <w:rPr>
          <w:rStyle w:val="37"/>
          <w:rFonts w:ascii="Times New Roman" w:hAnsi="Times New Roman"/>
          <w:caps/>
          <w:sz w:val="24"/>
          <w:szCs w:val="24"/>
        </w:rPr>
        <w:fldChar w:fldCharType="begin"/>
      </w:r>
      <w:r>
        <w:rPr>
          <w:rStyle w:val="37"/>
          <w:rFonts w:ascii="Times New Roman" w:hAnsi="Times New Roman"/>
          <w:caps/>
          <w:sz w:val="24"/>
          <w:szCs w:val="24"/>
        </w:rPr>
        <w:instrText xml:space="preserve"> TOC \o "1-2" \h \z \u </w:instrText>
      </w:r>
      <w:r>
        <w:rPr>
          <w:rStyle w:val="37"/>
          <w:rFonts w:ascii="Times New Roman" w:hAnsi="Times New Roman"/>
          <w:caps/>
          <w:sz w:val="24"/>
          <w:szCs w:val="24"/>
        </w:rPr>
        <w:fldChar w:fldCharType="separate"/>
      </w:r>
      <w:r>
        <w:fldChar w:fldCharType="begin"/>
      </w:r>
      <w:r>
        <w:instrText xml:space="preserve"> HYPERLINK \l "_Toc112232541" </w:instrText>
      </w:r>
      <w:r>
        <w:fldChar w:fldCharType="separate"/>
      </w:r>
      <w:r>
        <w:rPr>
          <w:rStyle w:val="37"/>
          <w:rFonts w:hint="eastAsia" w:ascii="Times New Roman" w:hAnsi="Times New Roman"/>
          <w:b/>
          <w:bCs/>
          <w:kern w:val="44"/>
          <w:sz w:val="24"/>
          <w:szCs w:val="24"/>
        </w:rPr>
        <w:t>声</w:t>
      </w:r>
      <w:r>
        <w:rPr>
          <w:rStyle w:val="37"/>
          <w:rFonts w:ascii="Times New Roman" w:hAnsi="Times New Roman"/>
          <w:b/>
          <w:bCs/>
          <w:kern w:val="44"/>
          <w:sz w:val="24"/>
          <w:szCs w:val="24"/>
        </w:rPr>
        <w:t xml:space="preserve">        </w:t>
      </w:r>
      <w:r>
        <w:rPr>
          <w:rStyle w:val="37"/>
          <w:rFonts w:hint="eastAsia" w:ascii="Times New Roman" w:hAnsi="Times New Roman"/>
          <w:b/>
          <w:bCs/>
          <w:kern w:val="44"/>
          <w:sz w:val="24"/>
          <w:szCs w:val="24"/>
        </w:rPr>
        <w:t>明</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_Toc112232541 \h </w:instrText>
      </w:r>
      <w:r>
        <w:rPr>
          <w:rFonts w:ascii="Times New Roman" w:hAnsi="Times New Roman"/>
          <w:b/>
          <w:bCs/>
          <w:sz w:val="24"/>
          <w:szCs w:val="24"/>
        </w:rPr>
        <w:fldChar w:fldCharType="separate"/>
      </w:r>
      <w:r>
        <w:rPr>
          <w:rFonts w:ascii="Times New Roman" w:hAnsi="Times New Roman"/>
          <w:b/>
          <w:bCs/>
          <w:sz w:val="24"/>
          <w:szCs w:val="24"/>
        </w:rPr>
        <w:t>1</w:t>
      </w:r>
      <w:r>
        <w:rPr>
          <w:rFonts w:ascii="Times New Roman" w:hAnsi="Times New Roman"/>
          <w:b/>
          <w:bCs/>
          <w:sz w:val="24"/>
          <w:szCs w:val="24"/>
        </w:rPr>
        <w:fldChar w:fldCharType="end"/>
      </w:r>
      <w:r>
        <w:rPr>
          <w:rFonts w:ascii="Times New Roman" w:hAnsi="Times New Roman"/>
          <w:b/>
          <w:bCs/>
          <w:sz w:val="24"/>
          <w:szCs w:val="24"/>
        </w:rPr>
        <w:fldChar w:fldCharType="end"/>
      </w:r>
    </w:p>
    <w:p w14:paraId="26EE39B9">
      <w:pPr>
        <w:pStyle w:val="28"/>
        <w:spacing w:line="520" w:lineRule="exact"/>
        <w:rPr>
          <w:rFonts w:ascii="Times New Roman" w:hAnsi="Times New Roman"/>
          <w:b/>
          <w:bCs/>
          <w:sz w:val="24"/>
          <w:szCs w:val="24"/>
        </w:rPr>
      </w:pPr>
      <w:r>
        <w:fldChar w:fldCharType="begin"/>
      </w:r>
      <w:r>
        <w:instrText xml:space="preserve"> HYPERLINK \l "_Toc112232542" </w:instrText>
      </w:r>
      <w:r>
        <w:fldChar w:fldCharType="separate"/>
      </w:r>
      <w:r>
        <w:rPr>
          <w:rStyle w:val="37"/>
          <w:rFonts w:hint="eastAsia" w:ascii="Times New Roman" w:hAnsi="Times New Roman"/>
          <w:b/>
          <w:bCs/>
          <w:kern w:val="44"/>
          <w:sz w:val="24"/>
          <w:szCs w:val="24"/>
        </w:rPr>
        <w:t>资产评估报告摘要</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_Toc112232542 \h </w:instrText>
      </w:r>
      <w:r>
        <w:rPr>
          <w:rFonts w:ascii="Times New Roman" w:hAnsi="Times New Roman"/>
          <w:b/>
          <w:bCs/>
          <w:sz w:val="24"/>
          <w:szCs w:val="24"/>
        </w:rPr>
        <w:fldChar w:fldCharType="separate"/>
      </w:r>
      <w:r>
        <w:rPr>
          <w:rFonts w:ascii="Times New Roman" w:hAnsi="Times New Roman"/>
          <w:b/>
          <w:bCs/>
          <w:sz w:val="24"/>
          <w:szCs w:val="24"/>
        </w:rPr>
        <w:t>2</w:t>
      </w:r>
      <w:r>
        <w:rPr>
          <w:rFonts w:ascii="Times New Roman" w:hAnsi="Times New Roman"/>
          <w:b/>
          <w:bCs/>
          <w:sz w:val="24"/>
          <w:szCs w:val="24"/>
        </w:rPr>
        <w:fldChar w:fldCharType="end"/>
      </w:r>
      <w:r>
        <w:rPr>
          <w:rFonts w:ascii="Times New Roman" w:hAnsi="Times New Roman"/>
          <w:b/>
          <w:bCs/>
          <w:sz w:val="24"/>
          <w:szCs w:val="24"/>
        </w:rPr>
        <w:fldChar w:fldCharType="end"/>
      </w:r>
    </w:p>
    <w:p w14:paraId="1C29334B">
      <w:pPr>
        <w:pStyle w:val="28"/>
        <w:spacing w:line="520" w:lineRule="exact"/>
        <w:rPr>
          <w:rFonts w:ascii="Times New Roman" w:hAnsi="Times New Roman"/>
          <w:b/>
          <w:bCs/>
          <w:sz w:val="24"/>
          <w:szCs w:val="24"/>
        </w:rPr>
      </w:pPr>
      <w:r>
        <w:fldChar w:fldCharType="begin"/>
      </w:r>
      <w:r>
        <w:instrText xml:space="preserve"> HYPERLINK \l "_Toc112232543" </w:instrText>
      </w:r>
      <w:r>
        <w:fldChar w:fldCharType="separate"/>
      </w:r>
      <w:r>
        <w:rPr>
          <w:rStyle w:val="37"/>
          <w:rFonts w:hint="eastAsia" w:ascii="Times New Roman" w:hAnsi="Times New Roman"/>
          <w:b/>
          <w:bCs/>
          <w:kern w:val="44"/>
          <w:sz w:val="24"/>
          <w:szCs w:val="24"/>
        </w:rPr>
        <w:t>资产评估报告正文</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_Toc112232543 \h </w:instrText>
      </w:r>
      <w:r>
        <w:rPr>
          <w:rFonts w:ascii="Times New Roman" w:hAnsi="Times New Roman"/>
          <w:b/>
          <w:bCs/>
          <w:sz w:val="24"/>
          <w:szCs w:val="24"/>
        </w:rPr>
        <w:fldChar w:fldCharType="separate"/>
      </w:r>
      <w:r>
        <w:rPr>
          <w:rFonts w:ascii="Times New Roman" w:hAnsi="Times New Roman"/>
          <w:b/>
          <w:bCs/>
          <w:sz w:val="24"/>
          <w:szCs w:val="24"/>
        </w:rPr>
        <w:t>4</w:t>
      </w:r>
      <w:r>
        <w:rPr>
          <w:rFonts w:ascii="Times New Roman" w:hAnsi="Times New Roman"/>
          <w:b/>
          <w:bCs/>
          <w:sz w:val="24"/>
          <w:szCs w:val="24"/>
        </w:rPr>
        <w:fldChar w:fldCharType="end"/>
      </w:r>
      <w:r>
        <w:rPr>
          <w:rFonts w:ascii="Times New Roman" w:hAnsi="Times New Roman"/>
          <w:b/>
          <w:bCs/>
          <w:sz w:val="24"/>
          <w:szCs w:val="24"/>
        </w:rPr>
        <w:fldChar w:fldCharType="end"/>
      </w:r>
    </w:p>
    <w:p w14:paraId="73A189DA">
      <w:pPr>
        <w:pStyle w:val="28"/>
        <w:spacing w:line="520" w:lineRule="exact"/>
        <w:rPr>
          <w:rFonts w:ascii="Times New Roman" w:hAnsi="Times New Roman"/>
          <w:sz w:val="24"/>
          <w:szCs w:val="24"/>
        </w:rPr>
      </w:pPr>
      <w:r>
        <w:fldChar w:fldCharType="begin"/>
      </w:r>
      <w:r>
        <w:instrText xml:space="preserve"> HYPERLINK \l "_Toc112232544" </w:instrText>
      </w:r>
      <w:r>
        <w:fldChar w:fldCharType="separate"/>
      </w:r>
      <w:r>
        <w:rPr>
          <w:rStyle w:val="37"/>
          <w:rFonts w:hint="eastAsia" w:ascii="Times New Roman" w:hAnsi="Times New Roman"/>
          <w:sz w:val="24"/>
          <w:szCs w:val="24"/>
        </w:rPr>
        <w:t>一、委托人、产权持有人和评估委托合同约定的其他评估报告使用者概况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_Toc112232544 \h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17326696">
      <w:pPr>
        <w:pStyle w:val="28"/>
        <w:spacing w:line="520" w:lineRule="exact"/>
        <w:rPr>
          <w:rFonts w:ascii="Times New Roman" w:hAnsi="Times New Roman"/>
          <w:sz w:val="24"/>
          <w:szCs w:val="24"/>
        </w:rPr>
      </w:pPr>
      <w:r>
        <w:fldChar w:fldCharType="begin"/>
      </w:r>
      <w:r>
        <w:instrText xml:space="preserve"> HYPERLINK \l "_Toc112232545" </w:instrText>
      </w:r>
      <w:r>
        <w:fldChar w:fldCharType="separate"/>
      </w:r>
      <w:r>
        <w:rPr>
          <w:rStyle w:val="37"/>
          <w:rFonts w:hint="eastAsia" w:ascii="Times New Roman" w:hAnsi="Times New Roman"/>
          <w:sz w:val="24"/>
          <w:szCs w:val="24"/>
        </w:rPr>
        <w:t>二、评估目的</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_Toc112232545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03963BAC">
      <w:pPr>
        <w:pStyle w:val="28"/>
        <w:spacing w:line="520" w:lineRule="exact"/>
        <w:rPr>
          <w:rFonts w:ascii="Times New Roman" w:hAnsi="Times New Roman"/>
          <w:sz w:val="24"/>
          <w:szCs w:val="24"/>
        </w:rPr>
      </w:pPr>
      <w:r>
        <w:fldChar w:fldCharType="begin"/>
      </w:r>
      <w:r>
        <w:instrText xml:space="preserve"> HYPERLINK \l "_Toc112232546" </w:instrText>
      </w:r>
      <w:r>
        <w:fldChar w:fldCharType="separate"/>
      </w:r>
      <w:r>
        <w:rPr>
          <w:rStyle w:val="37"/>
          <w:rFonts w:hint="eastAsia" w:ascii="Times New Roman" w:hAnsi="Times New Roman"/>
          <w:sz w:val="24"/>
          <w:szCs w:val="24"/>
        </w:rPr>
        <w:t>三、评估对象和评估范围</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_Toc112232546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357BEB49">
      <w:pPr>
        <w:pStyle w:val="28"/>
        <w:spacing w:line="520" w:lineRule="exact"/>
        <w:rPr>
          <w:rFonts w:ascii="Times New Roman" w:hAnsi="Times New Roman"/>
          <w:sz w:val="24"/>
          <w:szCs w:val="24"/>
        </w:rPr>
      </w:pPr>
      <w:r>
        <w:fldChar w:fldCharType="begin"/>
      </w:r>
      <w:r>
        <w:instrText xml:space="preserve"> HYPERLINK \l "_Toc112232547" </w:instrText>
      </w:r>
      <w:r>
        <w:fldChar w:fldCharType="separate"/>
      </w:r>
      <w:r>
        <w:rPr>
          <w:rStyle w:val="37"/>
          <w:rFonts w:hint="eastAsia" w:ascii="Times New Roman" w:hAnsi="Times New Roman"/>
          <w:sz w:val="24"/>
          <w:szCs w:val="24"/>
        </w:rPr>
        <w:t>四、价值类型</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_Toc112232547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6DFE1307">
      <w:pPr>
        <w:pStyle w:val="28"/>
        <w:spacing w:line="520" w:lineRule="exact"/>
        <w:rPr>
          <w:rFonts w:ascii="Times New Roman" w:hAnsi="Times New Roman"/>
          <w:sz w:val="24"/>
          <w:szCs w:val="24"/>
        </w:rPr>
      </w:pPr>
      <w:r>
        <w:fldChar w:fldCharType="begin"/>
      </w:r>
      <w:r>
        <w:instrText xml:space="preserve"> HYPERLINK \l "_Toc112232548" </w:instrText>
      </w:r>
      <w:r>
        <w:fldChar w:fldCharType="separate"/>
      </w:r>
      <w:r>
        <w:rPr>
          <w:rStyle w:val="37"/>
          <w:rFonts w:hint="eastAsia" w:ascii="Times New Roman" w:hAnsi="Times New Roman"/>
          <w:sz w:val="24"/>
          <w:szCs w:val="24"/>
        </w:rPr>
        <w:t>五、评估基准日</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_Toc112232548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472CE6A2">
      <w:pPr>
        <w:pStyle w:val="28"/>
        <w:spacing w:line="520" w:lineRule="exact"/>
        <w:rPr>
          <w:rFonts w:ascii="Times New Roman" w:hAnsi="Times New Roman"/>
          <w:sz w:val="24"/>
          <w:szCs w:val="24"/>
        </w:rPr>
      </w:pPr>
      <w:r>
        <w:fldChar w:fldCharType="begin"/>
      </w:r>
      <w:r>
        <w:instrText xml:space="preserve"> HYPERLINK \l "_Toc112232549" </w:instrText>
      </w:r>
      <w:r>
        <w:fldChar w:fldCharType="separate"/>
      </w:r>
      <w:r>
        <w:rPr>
          <w:rStyle w:val="37"/>
          <w:rFonts w:hint="eastAsia" w:ascii="Times New Roman" w:hAnsi="Times New Roman"/>
          <w:sz w:val="24"/>
          <w:szCs w:val="24"/>
        </w:rPr>
        <w:t>六、评估依据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_Toc112232549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2098AEB1">
      <w:pPr>
        <w:pStyle w:val="28"/>
        <w:spacing w:line="520" w:lineRule="exact"/>
        <w:rPr>
          <w:rFonts w:ascii="Times New Roman" w:hAnsi="Times New Roman"/>
          <w:sz w:val="24"/>
          <w:szCs w:val="24"/>
        </w:rPr>
      </w:pPr>
      <w:r>
        <w:fldChar w:fldCharType="begin"/>
      </w:r>
      <w:r>
        <w:instrText xml:space="preserve"> HYPERLINK \l "_Toc112232550" </w:instrText>
      </w:r>
      <w:r>
        <w:fldChar w:fldCharType="separate"/>
      </w:r>
      <w:r>
        <w:rPr>
          <w:rStyle w:val="37"/>
          <w:rFonts w:hint="eastAsia" w:ascii="Times New Roman" w:hAnsi="Times New Roman"/>
          <w:sz w:val="24"/>
          <w:szCs w:val="24"/>
        </w:rPr>
        <w:t>七、评估方法</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_Toc112232550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1C728DFA">
      <w:pPr>
        <w:pStyle w:val="28"/>
        <w:spacing w:line="520" w:lineRule="exact"/>
        <w:rPr>
          <w:rFonts w:ascii="Times New Roman" w:hAnsi="Times New Roman"/>
          <w:sz w:val="24"/>
          <w:szCs w:val="24"/>
        </w:rPr>
      </w:pPr>
      <w:r>
        <w:fldChar w:fldCharType="begin"/>
      </w:r>
      <w:r>
        <w:instrText xml:space="preserve"> HYPERLINK \l "_Toc112232551" </w:instrText>
      </w:r>
      <w:r>
        <w:fldChar w:fldCharType="separate"/>
      </w:r>
      <w:r>
        <w:rPr>
          <w:rStyle w:val="37"/>
          <w:rFonts w:hint="eastAsia" w:ascii="Times New Roman" w:hAnsi="Times New Roman"/>
          <w:sz w:val="24"/>
          <w:szCs w:val="24"/>
        </w:rPr>
        <w:t>八、评估程序实施过程和情况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_Toc112232551 \h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14:paraId="71BD62D8">
      <w:pPr>
        <w:pStyle w:val="28"/>
        <w:spacing w:line="520" w:lineRule="exact"/>
        <w:rPr>
          <w:rFonts w:ascii="Times New Roman" w:hAnsi="Times New Roman"/>
          <w:sz w:val="24"/>
          <w:szCs w:val="24"/>
        </w:rPr>
      </w:pPr>
      <w:r>
        <w:fldChar w:fldCharType="begin"/>
      </w:r>
      <w:r>
        <w:instrText xml:space="preserve"> HYPERLINK \l "_Toc112232552" </w:instrText>
      </w:r>
      <w:r>
        <w:fldChar w:fldCharType="separate"/>
      </w:r>
      <w:r>
        <w:rPr>
          <w:rStyle w:val="37"/>
          <w:rFonts w:hint="eastAsia" w:ascii="Times New Roman" w:hAnsi="Times New Roman"/>
          <w:sz w:val="24"/>
          <w:szCs w:val="24"/>
        </w:rPr>
        <w:t>九、评估假设</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_Toc112232552 \h </w:instrText>
      </w:r>
      <w:r>
        <w:rPr>
          <w:rFonts w:ascii="Times New Roman" w:hAnsi="Times New Roman"/>
          <w:sz w:val="24"/>
          <w:szCs w:val="24"/>
        </w:rPr>
        <w:fldChar w:fldCharType="separate"/>
      </w:r>
      <w:r>
        <w:rPr>
          <w:rFonts w:ascii="Times New Roman" w:hAnsi="Times New Roman"/>
          <w:sz w:val="24"/>
          <w:szCs w:val="24"/>
        </w:rPr>
        <w:t>12</w:t>
      </w:r>
      <w:r>
        <w:rPr>
          <w:rFonts w:ascii="Times New Roman" w:hAnsi="Times New Roman"/>
          <w:sz w:val="24"/>
          <w:szCs w:val="24"/>
        </w:rPr>
        <w:fldChar w:fldCharType="end"/>
      </w:r>
      <w:r>
        <w:rPr>
          <w:rFonts w:ascii="Times New Roman" w:hAnsi="Times New Roman"/>
          <w:sz w:val="24"/>
          <w:szCs w:val="24"/>
        </w:rPr>
        <w:fldChar w:fldCharType="end"/>
      </w:r>
    </w:p>
    <w:p w14:paraId="0985ED10">
      <w:pPr>
        <w:pStyle w:val="28"/>
        <w:spacing w:line="520" w:lineRule="exact"/>
        <w:rPr>
          <w:rFonts w:ascii="Times New Roman" w:hAnsi="Times New Roman"/>
          <w:sz w:val="24"/>
          <w:szCs w:val="24"/>
        </w:rPr>
      </w:pPr>
      <w:r>
        <w:fldChar w:fldCharType="begin"/>
      </w:r>
      <w:r>
        <w:instrText xml:space="preserve"> HYPERLINK \l "_Toc112232553" </w:instrText>
      </w:r>
      <w:r>
        <w:fldChar w:fldCharType="separate"/>
      </w:r>
      <w:r>
        <w:rPr>
          <w:rStyle w:val="37"/>
          <w:rFonts w:hint="eastAsia" w:ascii="Times New Roman" w:hAnsi="Times New Roman"/>
          <w:sz w:val="24"/>
          <w:szCs w:val="24"/>
        </w:rPr>
        <w:t>十、评估结论</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_Toc112232553 \h </w:instrText>
      </w:r>
      <w:r>
        <w:rPr>
          <w:rFonts w:ascii="Times New Roman" w:hAnsi="Times New Roman"/>
          <w:sz w:val="24"/>
          <w:szCs w:val="24"/>
        </w:rPr>
        <w:fldChar w:fldCharType="separate"/>
      </w:r>
      <w:r>
        <w:rPr>
          <w:rFonts w:ascii="Times New Roman" w:hAnsi="Times New Roman"/>
          <w:sz w:val="24"/>
          <w:szCs w:val="24"/>
        </w:rPr>
        <w:t>13</w:t>
      </w:r>
      <w:r>
        <w:rPr>
          <w:rFonts w:ascii="Times New Roman" w:hAnsi="Times New Roman"/>
          <w:sz w:val="24"/>
          <w:szCs w:val="24"/>
        </w:rPr>
        <w:fldChar w:fldCharType="end"/>
      </w:r>
      <w:r>
        <w:rPr>
          <w:rFonts w:ascii="Times New Roman" w:hAnsi="Times New Roman"/>
          <w:sz w:val="24"/>
          <w:szCs w:val="24"/>
        </w:rPr>
        <w:fldChar w:fldCharType="end"/>
      </w:r>
    </w:p>
    <w:p w14:paraId="71E42433">
      <w:pPr>
        <w:pStyle w:val="28"/>
        <w:spacing w:line="520" w:lineRule="exact"/>
        <w:rPr>
          <w:rFonts w:ascii="Times New Roman" w:hAnsi="Times New Roman"/>
          <w:sz w:val="24"/>
          <w:szCs w:val="24"/>
        </w:rPr>
      </w:pPr>
      <w:r>
        <w:fldChar w:fldCharType="begin"/>
      </w:r>
      <w:r>
        <w:instrText xml:space="preserve"> HYPERLINK \l "_Toc112232554" </w:instrText>
      </w:r>
      <w:r>
        <w:fldChar w:fldCharType="separate"/>
      </w:r>
      <w:r>
        <w:rPr>
          <w:rStyle w:val="37"/>
          <w:rFonts w:hint="eastAsia" w:ascii="Times New Roman" w:hAnsi="Times New Roman"/>
          <w:sz w:val="24"/>
          <w:szCs w:val="24"/>
        </w:rPr>
        <w:t>十一、特别事项说明</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_Toc112232554 \h </w:instrText>
      </w:r>
      <w:r>
        <w:rPr>
          <w:rFonts w:ascii="Times New Roman" w:hAnsi="Times New Roman"/>
          <w:sz w:val="24"/>
          <w:szCs w:val="24"/>
        </w:rPr>
        <w:fldChar w:fldCharType="separate"/>
      </w:r>
      <w:r>
        <w:rPr>
          <w:rFonts w:ascii="Times New Roman" w:hAnsi="Times New Roman"/>
          <w:sz w:val="24"/>
          <w:szCs w:val="24"/>
        </w:rPr>
        <w:t>13</w:t>
      </w:r>
      <w:r>
        <w:rPr>
          <w:rFonts w:ascii="Times New Roman" w:hAnsi="Times New Roman"/>
          <w:sz w:val="24"/>
          <w:szCs w:val="24"/>
        </w:rPr>
        <w:fldChar w:fldCharType="end"/>
      </w:r>
      <w:r>
        <w:rPr>
          <w:rFonts w:ascii="Times New Roman" w:hAnsi="Times New Roman"/>
          <w:sz w:val="24"/>
          <w:szCs w:val="24"/>
        </w:rPr>
        <w:fldChar w:fldCharType="end"/>
      </w:r>
    </w:p>
    <w:p w14:paraId="584DAADE">
      <w:pPr>
        <w:pStyle w:val="28"/>
        <w:spacing w:line="520" w:lineRule="exact"/>
        <w:rPr>
          <w:rFonts w:ascii="Times New Roman" w:hAnsi="Times New Roman"/>
          <w:sz w:val="24"/>
          <w:szCs w:val="24"/>
        </w:rPr>
      </w:pPr>
      <w:r>
        <w:fldChar w:fldCharType="begin"/>
      </w:r>
      <w:r>
        <w:instrText xml:space="preserve"> HYPERLINK \l "_Toc112232555" </w:instrText>
      </w:r>
      <w:r>
        <w:fldChar w:fldCharType="separate"/>
      </w:r>
      <w:r>
        <w:rPr>
          <w:rStyle w:val="37"/>
          <w:rFonts w:hint="eastAsia" w:ascii="Times New Roman" w:hAnsi="Times New Roman"/>
          <w:sz w:val="24"/>
          <w:szCs w:val="24"/>
        </w:rPr>
        <w:t>十二、资产评估报告的使用限制说明</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_Toc112232555 \h </w:instrText>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fldChar w:fldCharType="end"/>
      </w:r>
    </w:p>
    <w:p w14:paraId="36A0E7AE">
      <w:pPr>
        <w:pStyle w:val="28"/>
        <w:spacing w:line="520" w:lineRule="exact"/>
        <w:rPr>
          <w:rFonts w:ascii="Times New Roman" w:hAnsi="Times New Roman"/>
          <w:sz w:val="24"/>
          <w:szCs w:val="24"/>
        </w:rPr>
      </w:pPr>
      <w:r>
        <w:fldChar w:fldCharType="begin"/>
      </w:r>
      <w:r>
        <w:instrText xml:space="preserve"> HYPERLINK \l "_Toc112232556" </w:instrText>
      </w:r>
      <w:r>
        <w:fldChar w:fldCharType="separate"/>
      </w:r>
      <w:r>
        <w:rPr>
          <w:rStyle w:val="37"/>
          <w:rFonts w:hint="eastAsia" w:ascii="Times New Roman" w:hAnsi="Times New Roman"/>
          <w:sz w:val="24"/>
          <w:szCs w:val="24"/>
        </w:rPr>
        <w:t>十三、资产评估报告日</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_Toc112232556 \h </w:instrText>
      </w:r>
      <w:r>
        <w:rPr>
          <w:rFonts w:ascii="Times New Roman" w:hAnsi="Times New Roman"/>
          <w:sz w:val="24"/>
          <w:szCs w:val="24"/>
        </w:rPr>
        <w:fldChar w:fldCharType="separate"/>
      </w:r>
      <w:r>
        <w:rPr>
          <w:rFonts w:ascii="Times New Roman" w:hAnsi="Times New Roman"/>
          <w:sz w:val="24"/>
          <w:szCs w:val="24"/>
        </w:rPr>
        <w:t>15</w:t>
      </w:r>
      <w:r>
        <w:rPr>
          <w:rFonts w:ascii="Times New Roman" w:hAnsi="Times New Roman"/>
          <w:sz w:val="24"/>
          <w:szCs w:val="24"/>
        </w:rPr>
        <w:fldChar w:fldCharType="end"/>
      </w:r>
      <w:r>
        <w:rPr>
          <w:rFonts w:ascii="Times New Roman" w:hAnsi="Times New Roman"/>
          <w:sz w:val="24"/>
          <w:szCs w:val="24"/>
        </w:rPr>
        <w:fldChar w:fldCharType="end"/>
      </w:r>
    </w:p>
    <w:p w14:paraId="55E4E0AA">
      <w:pPr>
        <w:pStyle w:val="28"/>
        <w:spacing w:line="520" w:lineRule="exact"/>
        <w:rPr>
          <w:rFonts w:ascii="Times New Roman" w:hAnsi="Times New Roman"/>
          <w:sz w:val="24"/>
          <w:szCs w:val="24"/>
        </w:rPr>
      </w:pPr>
      <w:r>
        <w:fldChar w:fldCharType="begin"/>
      </w:r>
      <w:r>
        <w:instrText xml:space="preserve"> HYPERLINK \l "_Toc112232557" </w:instrText>
      </w:r>
      <w:r>
        <w:fldChar w:fldCharType="separate"/>
      </w:r>
      <w:r>
        <w:rPr>
          <w:rStyle w:val="37"/>
          <w:rFonts w:hint="eastAsia" w:ascii="Times New Roman" w:hAnsi="Times New Roman"/>
          <w:sz w:val="24"/>
          <w:szCs w:val="24"/>
        </w:rPr>
        <w:t>十四、签名盖章</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_Toc112232557 \h </w:instrText>
      </w:r>
      <w:r>
        <w:rPr>
          <w:rFonts w:ascii="Times New Roman" w:hAnsi="Times New Roman"/>
          <w:sz w:val="24"/>
          <w:szCs w:val="24"/>
        </w:rPr>
        <w:fldChar w:fldCharType="separate"/>
      </w:r>
      <w:r>
        <w:rPr>
          <w:rFonts w:ascii="Times New Roman" w:hAnsi="Times New Roman"/>
          <w:sz w:val="24"/>
          <w:szCs w:val="24"/>
        </w:rPr>
        <w:t>16</w:t>
      </w:r>
      <w:r>
        <w:rPr>
          <w:rFonts w:ascii="Times New Roman" w:hAnsi="Times New Roman"/>
          <w:sz w:val="24"/>
          <w:szCs w:val="24"/>
        </w:rPr>
        <w:fldChar w:fldCharType="end"/>
      </w:r>
      <w:r>
        <w:rPr>
          <w:rFonts w:ascii="Times New Roman" w:hAnsi="Times New Roman"/>
          <w:sz w:val="24"/>
          <w:szCs w:val="24"/>
        </w:rPr>
        <w:fldChar w:fldCharType="end"/>
      </w:r>
    </w:p>
    <w:p w14:paraId="488BCD86">
      <w:pPr>
        <w:pStyle w:val="28"/>
        <w:spacing w:line="520" w:lineRule="exact"/>
        <w:rPr>
          <w:rStyle w:val="37"/>
          <w:rFonts w:ascii="Times New Roman" w:hAnsi="Times New Roman"/>
          <w:b/>
          <w:bCs/>
          <w:sz w:val="24"/>
          <w:szCs w:val="24"/>
        </w:rPr>
      </w:pPr>
      <w:r>
        <w:fldChar w:fldCharType="begin"/>
      </w:r>
      <w:r>
        <w:instrText xml:space="preserve"> HYPERLINK \l "_Toc112232558" </w:instrText>
      </w:r>
      <w:r>
        <w:fldChar w:fldCharType="separate"/>
      </w:r>
      <w:r>
        <w:rPr>
          <w:rStyle w:val="37"/>
          <w:rFonts w:hint="eastAsia" w:ascii="Times New Roman" w:hAnsi="Times New Roman"/>
          <w:b/>
          <w:bCs/>
          <w:sz w:val="24"/>
          <w:szCs w:val="24"/>
        </w:rPr>
        <w:t>资产评估报告附件</w:t>
      </w:r>
      <w:r>
        <w:rPr>
          <w:rStyle w:val="37"/>
          <w:rFonts w:ascii="Times New Roman" w:hAnsi="Times New Roman"/>
          <w:b/>
          <w:bCs/>
          <w:sz w:val="24"/>
          <w:szCs w:val="24"/>
        </w:rPr>
        <w:tab/>
      </w:r>
      <w:r>
        <w:rPr>
          <w:rStyle w:val="37"/>
          <w:rFonts w:ascii="Times New Roman" w:hAnsi="Times New Roman"/>
          <w:b/>
          <w:bCs/>
          <w:sz w:val="24"/>
          <w:szCs w:val="24"/>
        </w:rPr>
        <w:fldChar w:fldCharType="begin"/>
      </w:r>
      <w:r>
        <w:rPr>
          <w:rStyle w:val="37"/>
          <w:rFonts w:ascii="Times New Roman" w:hAnsi="Times New Roman"/>
          <w:b/>
          <w:bCs/>
          <w:sz w:val="24"/>
          <w:szCs w:val="24"/>
        </w:rPr>
        <w:instrText xml:space="preserve"> PAGEREF _Toc112232558 \h </w:instrText>
      </w:r>
      <w:r>
        <w:rPr>
          <w:rStyle w:val="37"/>
          <w:rFonts w:ascii="Times New Roman" w:hAnsi="Times New Roman"/>
          <w:b/>
          <w:bCs/>
          <w:sz w:val="24"/>
          <w:szCs w:val="24"/>
        </w:rPr>
        <w:fldChar w:fldCharType="separate"/>
      </w:r>
      <w:r>
        <w:rPr>
          <w:rStyle w:val="37"/>
          <w:rFonts w:ascii="Times New Roman" w:hAnsi="Times New Roman"/>
          <w:b/>
          <w:bCs/>
          <w:sz w:val="24"/>
          <w:szCs w:val="24"/>
        </w:rPr>
        <w:t>17</w:t>
      </w:r>
      <w:r>
        <w:rPr>
          <w:rStyle w:val="37"/>
          <w:rFonts w:ascii="Times New Roman" w:hAnsi="Times New Roman"/>
          <w:b/>
          <w:bCs/>
          <w:sz w:val="24"/>
          <w:szCs w:val="24"/>
        </w:rPr>
        <w:fldChar w:fldCharType="end"/>
      </w:r>
      <w:r>
        <w:rPr>
          <w:rStyle w:val="37"/>
          <w:rFonts w:ascii="Times New Roman" w:hAnsi="Times New Roman"/>
          <w:b/>
          <w:bCs/>
          <w:sz w:val="24"/>
          <w:szCs w:val="24"/>
        </w:rPr>
        <w:fldChar w:fldCharType="end"/>
      </w:r>
    </w:p>
    <w:p w14:paraId="36585982">
      <w:pPr>
        <w:pStyle w:val="23"/>
        <w:spacing w:line="520" w:lineRule="exact"/>
        <w:rPr>
          <w:rStyle w:val="37"/>
          <w:rFonts w:ascii="Times New Roman" w:eastAsia="宋体"/>
          <w:b/>
          <w:smallCaps/>
          <w:szCs w:val="24"/>
        </w:rPr>
      </w:pPr>
      <w:r>
        <w:rPr>
          <w:rStyle w:val="37"/>
          <w:rFonts w:ascii="Times New Roman" w:eastAsia="宋体"/>
          <w:caps w:val="0"/>
          <w:szCs w:val="24"/>
        </w:rPr>
        <w:fldChar w:fldCharType="end"/>
      </w:r>
    </w:p>
    <w:p w14:paraId="766EA32B">
      <w:pPr>
        <w:snapToGrid w:val="0"/>
        <w:spacing w:line="480" w:lineRule="exact"/>
        <w:ind w:firstLine="480" w:firstLineChars="200"/>
        <w:rPr>
          <w:szCs w:val="24"/>
        </w:rPr>
      </w:pPr>
    </w:p>
    <w:p w14:paraId="0D76ABC0">
      <w:pPr>
        <w:pStyle w:val="2"/>
        <w:spacing w:line="480" w:lineRule="exact"/>
        <w:rPr>
          <w:szCs w:val="24"/>
        </w:rPr>
      </w:pPr>
    </w:p>
    <w:p w14:paraId="1CA7936F">
      <w:pPr>
        <w:spacing w:line="480" w:lineRule="exact"/>
        <w:rPr>
          <w:szCs w:val="24"/>
        </w:rPr>
      </w:pPr>
    </w:p>
    <w:p w14:paraId="63CFC304">
      <w:pPr>
        <w:tabs>
          <w:tab w:val="left" w:pos="0"/>
        </w:tabs>
        <w:rPr>
          <w:sz w:val="6"/>
        </w:rPr>
      </w:pPr>
      <w:r>
        <w:tab/>
      </w:r>
    </w:p>
    <w:p w14:paraId="34796B69">
      <w:pPr>
        <w:pStyle w:val="4"/>
        <w:adjustRightInd/>
        <w:snapToGrid w:val="0"/>
        <w:spacing w:before="120" w:beforeLines="50" w:after="120" w:afterLines="50" w:line="360" w:lineRule="auto"/>
        <w:ind w:firstLine="0"/>
        <w:jc w:val="center"/>
        <w:textAlignment w:val="auto"/>
        <w:rPr>
          <w:rStyle w:val="53"/>
          <w:rFonts w:ascii="Times New Roman" w:hAnsi="Times New Roman" w:eastAsia="宋体"/>
          <w:b/>
          <w:sz w:val="24"/>
          <w:szCs w:val="24"/>
        </w:rPr>
        <w:sectPr>
          <w:footerReference r:id="rId6" w:type="default"/>
          <w:pgSz w:w="11906" w:h="16838"/>
          <w:pgMar w:top="1418" w:right="1474" w:bottom="1418" w:left="1474" w:header="896" w:footer="753" w:gutter="0"/>
          <w:pgNumType w:fmt="upperRoman" w:start="1"/>
          <w:cols w:space="720" w:num="1"/>
          <w:docGrid w:linePitch="450" w:charSpace="-4916"/>
        </w:sectPr>
      </w:pPr>
      <w:bookmarkStart w:id="1" w:name="_Toc112232541"/>
    </w:p>
    <w:p w14:paraId="311A77C2">
      <w:pPr>
        <w:pStyle w:val="4"/>
        <w:adjustRightInd/>
        <w:snapToGrid w:val="0"/>
        <w:spacing w:before="120" w:beforeLines="50" w:after="120" w:afterLines="50" w:line="360" w:lineRule="auto"/>
        <w:ind w:firstLine="0"/>
        <w:jc w:val="center"/>
        <w:textAlignment w:val="auto"/>
        <w:rPr>
          <w:rFonts w:ascii="Times New Roman" w:hAnsi="Times New Roman" w:eastAsia="宋体"/>
          <w:b w:val="0"/>
          <w:color w:val="000000"/>
          <w:sz w:val="30"/>
          <w:szCs w:val="30"/>
        </w:rPr>
      </w:pPr>
      <w:r>
        <w:rPr>
          <w:rStyle w:val="53"/>
          <w:rFonts w:hint="eastAsia" w:ascii="Times New Roman" w:hAnsi="Times New Roman" w:eastAsia="宋体"/>
          <w:b/>
        </w:rPr>
        <w:t>声</w:t>
      </w:r>
      <w:r>
        <w:rPr>
          <w:rStyle w:val="53"/>
          <w:rFonts w:ascii="Times New Roman" w:hAnsi="Times New Roman" w:eastAsia="宋体"/>
          <w:b/>
        </w:rPr>
        <w:t xml:space="preserve">  </w:t>
      </w:r>
      <w:r>
        <w:rPr>
          <w:rStyle w:val="53"/>
          <w:rFonts w:hint="eastAsia" w:ascii="Times New Roman" w:hAnsi="Times New Roman" w:eastAsia="宋体"/>
          <w:b/>
        </w:rPr>
        <w:t>明</w:t>
      </w:r>
      <w:bookmarkEnd w:id="1"/>
    </w:p>
    <w:p w14:paraId="5F71146F">
      <w:pPr>
        <w:pStyle w:val="2"/>
        <w:snapToGrid w:val="0"/>
        <w:spacing w:before="0" w:after="0" w:line="360" w:lineRule="auto"/>
        <w:ind w:firstLine="480" w:firstLineChars="200"/>
      </w:pPr>
      <w:r>
        <w:rPr>
          <w:rFonts w:hint="eastAsia"/>
        </w:rPr>
        <w:t>一、本资产评估报告依据财政部发布的资产评估基本准则和中国资产评估协会发布的资产评估执业准则和职业道德准则编制。</w:t>
      </w:r>
    </w:p>
    <w:p w14:paraId="1029C0B1">
      <w:pPr>
        <w:pStyle w:val="2"/>
        <w:snapToGrid w:val="0"/>
        <w:spacing w:before="0" w:after="0" w:line="360" w:lineRule="auto"/>
        <w:ind w:firstLine="480" w:firstLineChars="200"/>
      </w:pPr>
      <w:r>
        <w:rPr>
          <w:rFonts w:hint="eastAsia"/>
        </w:rPr>
        <w:t>二、委托人或者其他资产评估报告使用人应当按照法律、行政法规规定和本资产评估报告载明的使用范围使用资产评估报告；委托人或者其他资产评估报告使用人违反前述规定使用资产评估报告的，资产评估机构及其资产评估专业人员不承担责任。</w:t>
      </w:r>
    </w:p>
    <w:p w14:paraId="2CD1FC07">
      <w:pPr>
        <w:pStyle w:val="2"/>
        <w:snapToGrid w:val="0"/>
        <w:spacing w:before="0" w:after="0" w:line="360" w:lineRule="auto"/>
        <w:ind w:firstLine="480" w:firstLineChars="200"/>
      </w:pPr>
      <w:r>
        <w:rPr>
          <w:rFonts w:hint="eastAsia"/>
        </w:rPr>
        <w:t>三、资产评估报告仅供委托人、资产评估委托合同中约定的其他资产评估报告使用人和法律、行政法规规定的资产评估报告使用人使用；除此之外，其他任何机构和个人不能成为资产评估报告的使用人。</w:t>
      </w:r>
    </w:p>
    <w:p w14:paraId="0EBE5517">
      <w:pPr>
        <w:pStyle w:val="2"/>
        <w:snapToGrid w:val="0"/>
        <w:spacing w:before="0" w:after="0" w:line="360" w:lineRule="auto"/>
        <w:ind w:firstLine="480" w:firstLineChars="200"/>
      </w:pPr>
      <w:r>
        <w:rPr>
          <w:rFonts w:hint="eastAsia"/>
        </w:rPr>
        <w:t>四、资产评估报告使用人应当正确理解和使用评估结论，评估结论不等同于评估对象可实现价格，评估结论不应当被认为是对评估对象可实现价格的保证。</w:t>
      </w:r>
    </w:p>
    <w:p w14:paraId="36D2FDD7">
      <w:pPr>
        <w:pStyle w:val="2"/>
        <w:snapToGrid w:val="0"/>
        <w:spacing w:before="0" w:after="0" w:line="360" w:lineRule="auto"/>
        <w:ind w:firstLine="480" w:firstLineChars="200"/>
      </w:pPr>
      <w:r>
        <w:rPr>
          <w:rFonts w:hint="eastAsia"/>
        </w:rPr>
        <w:t>五、资产评估机构及其资产评估专业人员遵守法律、行政法规和资产评估准则，坚持独立、客观、公正的原则，并对所出具的资产评估报告依法承担责任。</w:t>
      </w:r>
    </w:p>
    <w:p w14:paraId="5760FA92">
      <w:pPr>
        <w:pStyle w:val="2"/>
        <w:snapToGrid w:val="0"/>
        <w:spacing w:before="0" w:after="0" w:line="360" w:lineRule="auto"/>
        <w:ind w:firstLine="480" w:firstLineChars="200"/>
      </w:pPr>
      <w:r>
        <w:rPr>
          <w:rFonts w:hint="eastAsia"/>
        </w:rPr>
        <w:t>六、资产评估报告使用人应当关注评估结论成立的假设前提、资产评估报告特别事项说明和使用限制。</w:t>
      </w:r>
    </w:p>
    <w:p w14:paraId="3E79883C">
      <w:pPr>
        <w:pStyle w:val="2"/>
        <w:snapToGrid w:val="0"/>
        <w:spacing w:before="0" w:after="0" w:line="360" w:lineRule="auto"/>
        <w:ind w:firstLine="480" w:firstLineChars="200"/>
      </w:pPr>
      <w:r>
        <w:rPr>
          <w:rFonts w:hint="eastAsia"/>
        </w:rPr>
        <w:t>七、</w:t>
      </w:r>
      <w:r>
        <w:t>评估对象涉及的资产清单由委托人、产权持有人申报并经其采用签名、盖章或法律允许的其他方式确认；委托人和其他相关当事人依法对其提供资料的真实性、完整性、合法性负责</w:t>
      </w:r>
      <w:r>
        <w:rPr>
          <w:rFonts w:hint="eastAsia"/>
        </w:rPr>
        <w:t>。</w:t>
      </w:r>
    </w:p>
    <w:p w14:paraId="576C2D6D">
      <w:pPr>
        <w:pStyle w:val="2"/>
        <w:snapToGrid w:val="0"/>
        <w:spacing w:before="0" w:after="0" w:line="360" w:lineRule="auto"/>
        <w:ind w:firstLine="480" w:firstLineChars="200"/>
      </w:pPr>
      <w:r>
        <w:rPr>
          <w:rFonts w:hint="eastAsia"/>
        </w:rPr>
        <w:t>八、资产评估机构及资产评估专业人员与资产评估报告中的评估对象没有现存或者预期的利益关系；与相关当事人没有现存或者预期的利益关系，对相关当事人不存在偏见。</w:t>
      </w:r>
    </w:p>
    <w:p w14:paraId="6C17A14F">
      <w:pPr>
        <w:pStyle w:val="2"/>
        <w:snapToGrid w:val="0"/>
        <w:spacing w:before="0" w:after="0" w:line="360" w:lineRule="auto"/>
        <w:ind w:firstLine="480" w:firstLineChars="200"/>
      </w:pPr>
      <w:r>
        <w:rPr>
          <w:rFonts w:hint="eastAsia"/>
        </w:rPr>
        <w:t>九、</w:t>
      </w:r>
      <w:r>
        <w:t>资产评估专业人员已经对资产评估报告中的评估对象及其所涉及资产进行现场调查；已经对评估对象及其所涉及资产的法律权属状况给予必要的关注，对评估对象及其所涉及资产的法律权属资料进行了查验，对已经发现的问题进行了如实披露</w:t>
      </w:r>
      <w:r>
        <w:rPr>
          <w:rFonts w:hint="eastAsia"/>
        </w:rPr>
        <w:t>。</w:t>
      </w:r>
    </w:p>
    <w:p w14:paraId="6194576C">
      <w:pPr>
        <w:pStyle w:val="2"/>
        <w:snapToGrid w:val="0"/>
        <w:spacing w:before="0" w:after="0" w:line="360" w:lineRule="auto"/>
        <w:ind w:firstLine="480" w:firstLineChars="200"/>
      </w:pPr>
      <w:r>
        <w:rPr>
          <w:rFonts w:hint="eastAsia"/>
        </w:rPr>
        <w:t>十、本资产评估机构出具的资产评估报告中的分析、判断和结果受资产评估报告中假设和限制条件的限制，资产评估报告使用人应当充分考虑资产评估报告中载明的假设、限制条件、特别事项说明及其对评估结论的影响。</w:t>
      </w:r>
    </w:p>
    <w:p w14:paraId="12EAB0AA">
      <w:pPr>
        <w:pStyle w:val="2"/>
        <w:snapToGrid w:val="0"/>
        <w:spacing w:before="0" w:after="0" w:line="360" w:lineRule="auto"/>
        <w:ind w:firstLine="480" w:firstLineChars="200"/>
      </w:pPr>
      <w:r>
        <w:br w:type="page"/>
      </w:r>
    </w:p>
    <w:p w14:paraId="508828D9">
      <w:pPr>
        <w:pStyle w:val="2"/>
        <w:ind w:firstLine="0"/>
        <w:jc w:val="center"/>
        <w:rPr>
          <w:b/>
          <w:bCs/>
        </w:rPr>
      </w:pPr>
    </w:p>
    <w:p w14:paraId="1293E46D">
      <w:pPr>
        <w:pStyle w:val="2"/>
        <w:spacing w:before="0" w:after="0" w:line="360" w:lineRule="auto"/>
        <w:ind w:firstLine="0"/>
        <w:jc w:val="center"/>
        <w:rPr>
          <w:b/>
          <w:bCs/>
          <w:sz w:val="28"/>
          <w:szCs w:val="28"/>
        </w:rPr>
      </w:pPr>
      <w:r>
        <w:rPr>
          <w:rFonts w:hint="eastAsia"/>
          <w:b/>
          <w:bCs/>
          <w:sz w:val="28"/>
          <w:szCs w:val="28"/>
        </w:rPr>
        <w:t>中煤第五建设有限公司拟处置部分在用周转材料</w:t>
      </w:r>
    </w:p>
    <w:p w14:paraId="4EAEEA09">
      <w:pPr>
        <w:pStyle w:val="2"/>
        <w:spacing w:before="0" w:after="0" w:line="360" w:lineRule="auto"/>
        <w:ind w:firstLine="0"/>
        <w:jc w:val="center"/>
        <w:rPr>
          <w:b/>
          <w:bCs/>
          <w:sz w:val="28"/>
          <w:szCs w:val="28"/>
        </w:rPr>
      </w:pPr>
      <w:r>
        <w:rPr>
          <w:rFonts w:hint="eastAsia"/>
          <w:b/>
          <w:bCs/>
          <w:sz w:val="28"/>
          <w:szCs w:val="28"/>
        </w:rPr>
        <w:t>的市场价值项目</w:t>
      </w:r>
    </w:p>
    <w:p w14:paraId="27553D34">
      <w:pPr>
        <w:pStyle w:val="2"/>
        <w:spacing w:before="0" w:after="0" w:line="360" w:lineRule="auto"/>
        <w:ind w:firstLine="0"/>
        <w:jc w:val="center"/>
        <w:outlineLvl w:val="1"/>
        <w:rPr>
          <w:rStyle w:val="53"/>
          <w:rFonts w:eastAsia="宋体"/>
        </w:rPr>
      </w:pPr>
      <w:bookmarkStart w:id="87" w:name="_GoBack"/>
      <w:bookmarkEnd w:id="87"/>
      <w:bookmarkStart w:id="2" w:name="_Toc112232542"/>
      <w:r>
        <w:rPr>
          <w:rStyle w:val="53"/>
          <w:rFonts w:hint="eastAsia" w:eastAsia="宋体"/>
        </w:rPr>
        <w:t>资产评估报告摘要</w:t>
      </w:r>
      <w:bookmarkEnd w:id="2"/>
    </w:p>
    <w:p w14:paraId="0C19B6E1">
      <w:pPr>
        <w:jc w:val="center"/>
        <w:rPr>
          <w:szCs w:val="21"/>
        </w:rPr>
      </w:pPr>
      <w:r>
        <w:rPr>
          <w:rFonts w:hint="eastAsia"/>
          <w:szCs w:val="24"/>
        </w:rPr>
        <w:t>中致成评报字</w:t>
      </w:r>
      <w:r>
        <w:rPr>
          <w:szCs w:val="24"/>
        </w:rPr>
        <w:t>[2025]</w:t>
      </w:r>
      <w:r>
        <w:rPr>
          <w:rFonts w:hint="eastAsia"/>
          <w:szCs w:val="24"/>
        </w:rPr>
        <w:t>第0279号</w:t>
      </w:r>
    </w:p>
    <w:p w14:paraId="5189980D">
      <w:pPr>
        <w:rPr>
          <w:sz w:val="20"/>
          <w:szCs w:val="15"/>
        </w:rPr>
      </w:pPr>
    </w:p>
    <w:p w14:paraId="269AFB0C">
      <w:pPr>
        <w:spacing w:line="360" w:lineRule="auto"/>
        <w:rPr>
          <w:b/>
          <w:spacing w:val="20"/>
          <w:szCs w:val="24"/>
        </w:rPr>
      </w:pPr>
      <w:r>
        <mc:AlternateContent>
          <mc:Choice Requires="wps">
            <w:drawing>
              <wp:inline distT="0" distB="0" distL="0" distR="0">
                <wp:extent cx="5702935" cy="1016000"/>
                <wp:effectExtent l="0" t="0" r="12065" b="12700"/>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5702968" cy="1016000"/>
                        </a:xfrm>
                        <a:prstGeom prst="rect">
                          <a:avLst/>
                        </a:prstGeom>
                        <a:solidFill>
                          <a:srgbClr val="F2F2F2"/>
                        </a:solidFill>
                        <a:ln w="0">
                          <a:solidFill>
                            <a:srgbClr val="000000"/>
                          </a:solidFill>
                          <a:miter lim="800000"/>
                        </a:ln>
                        <a:effectLst/>
                      </wps:spPr>
                      <wps:txbx>
                        <w:txbxContent>
                          <w:p w14:paraId="0DA92A2E">
                            <w:pPr>
                              <w:snapToGrid w:val="0"/>
                              <w:spacing w:line="360" w:lineRule="auto"/>
                              <w:ind w:left="-2" w:leftChars="-1"/>
                              <w:jc w:val="center"/>
                              <w:rPr>
                                <w:rFonts w:ascii="仿宋_GB2312"/>
                                <w:szCs w:val="28"/>
                              </w:rPr>
                            </w:pPr>
                            <w:r>
                              <w:rPr>
                                <w:rFonts w:hint="eastAsia" w:ascii="仿宋_GB2312"/>
                                <w:b/>
                                <w:bCs/>
                                <w:sz w:val="30"/>
                                <w:szCs w:val="30"/>
                              </w:rPr>
                              <w:t>重要提示</w:t>
                            </w:r>
                          </w:p>
                          <w:p w14:paraId="2DC3DA0A">
                            <w:pPr>
                              <w:snapToGrid w:val="0"/>
                              <w:spacing w:line="360" w:lineRule="auto"/>
                              <w:ind w:firstLine="588"/>
                              <w:rPr>
                                <w:rFonts w:ascii="仿宋_GB2312"/>
                                <w:szCs w:val="28"/>
                              </w:rPr>
                            </w:pPr>
                            <w:r>
                              <w:rPr>
                                <w:rFonts w:hint="eastAsia" w:ascii="仿宋_GB2312"/>
                                <w:szCs w:val="28"/>
                              </w:rPr>
                              <w:t>本摘要内容摘自资产评估报告正文，欲了解本评估业务的详细情况和正确理解评估结论，应当阅读资产评估报告正文。</w:t>
                            </w:r>
                          </w:p>
                          <w:p w14:paraId="4D90755E">
                            <w:pPr>
                              <w:snapToGrid w:val="0"/>
                              <w:spacing w:line="360" w:lineRule="auto"/>
                              <w:ind w:firstLine="588"/>
                              <w:rPr>
                                <w:szCs w:val="28"/>
                              </w:rPr>
                            </w:pPr>
                            <w:r>
                              <w:rPr>
                                <w:rFonts w:hint="eastAsia" w:ascii="仿宋_GB2312"/>
                                <w:szCs w:val="28"/>
                              </w:rPr>
                              <w:t>告正文。</w:t>
                            </w:r>
                          </w:p>
                        </w:txbxContent>
                      </wps:txbx>
                      <wps:bodyPr rot="0" vert="horz" wrap="square" lIns="85725" tIns="47625" rIns="85725" bIns="47625" anchor="ctr" anchorCtr="0" upright="1">
                        <a:noAutofit/>
                      </wps:bodyPr>
                    </wps:wsp>
                  </a:graphicData>
                </a:graphic>
              </wp:inline>
            </w:drawing>
          </mc:Choice>
          <mc:Fallback>
            <w:pict>
              <v:rect id="_x0000_s1026" o:spid="_x0000_s1026" o:spt="1" style="height:80pt;width:449.05pt;v-text-anchor:middle;" fillcolor="#F2F2F2" filled="t" stroked="t" coordsize="21600,21600" o:gfxdata="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PiqHNMAAAAFAQAADwAAAAAAAAABACAAAAAiAAAAZHJzL2Rvd25y&#10;ZXYueG1sUEsBAhQAFAAAAAgAh07iQCdLINE8AgAAiAQAAA4AAAAAAAAAAQAgAAAAIgEAAGRycy9l&#10;Mm9Eb2MueG1sUEsFBgAAAAAGAAYAWQEAANAFAAAAAA==&#10;">
                <v:fill on="t" focussize="0,0"/>
                <v:stroke weight="0pt" color="#000000" miterlimit="8" joinstyle="miter"/>
                <v:imagedata o:title=""/>
                <o:lock v:ext="edit" aspectratio="f"/>
                <v:textbox inset="2.38125mm,3.75pt,2.38125mm,3.75pt">
                  <w:txbxContent>
                    <w:p w14:paraId="0DA92A2E">
                      <w:pPr>
                        <w:snapToGrid w:val="0"/>
                        <w:spacing w:line="360" w:lineRule="auto"/>
                        <w:ind w:left="-2" w:leftChars="-1"/>
                        <w:jc w:val="center"/>
                        <w:rPr>
                          <w:rFonts w:ascii="仿宋_GB2312"/>
                          <w:szCs w:val="28"/>
                        </w:rPr>
                      </w:pPr>
                      <w:r>
                        <w:rPr>
                          <w:rFonts w:hint="eastAsia" w:ascii="仿宋_GB2312"/>
                          <w:b/>
                          <w:bCs/>
                          <w:sz w:val="30"/>
                          <w:szCs w:val="30"/>
                        </w:rPr>
                        <w:t>重要提示</w:t>
                      </w:r>
                    </w:p>
                    <w:p w14:paraId="2DC3DA0A">
                      <w:pPr>
                        <w:snapToGrid w:val="0"/>
                        <w:spacing w:line="360" w:lineRule="auto"/>
                        <w:ind w:firstLine="588"/>
                        <w:rPr>
                          <w:rFonts w:ascii="仿宋_GB2312"/>
                          <w:szCs w:val="28"/>
                        </w:rPr>
                      </w:pPr>
                      <w:r>
                        <w:rPr>
                          <w:rFonts w:hint="eastAsia" w:ascii="仿宋_GB2312"/>
                          <w:szCs w:val="28"/>
                        </w:rPr>
                        <w:t>本摘要内容摘自资产评估报告正文，欲了解本评估业务的详细情况和正确理解评估结论，应当阅读资产评估报告正文。</w:t>
                      </w:r>
                    </w:p>
                    <w:p w14:paraId="4D90755E">
                      <w:pPr>
                        <w:snapToGrid w:val="0"/>
                        <w:spacing w:line="360" w:lineRule="auto"/>
                        <w:ind w:firstLine="588"/>
                        <w:rPr>
                          <w:szCs w:val="28"/>
                        </w:rPr>
                      </w:pPr>
                      <w:r>
                        <w:rPr>
                          <w:rFonts w:hint="eastAsia" w:ascii="仿宋_GB2312"/>
                          <w:szCs w:val="28"/>
                        </w:rPr>
                        <w:t>告正文。</w:t>
                      </w:r>
                    </w:p>
                  </w:txbxContent>
                </v:textbox>
                <w10:wrap type="none"/>
                <w10:anchorlock/>
              </v:rect>
            </w:pict>
          </mc:Fallback>
        </mc:AlternateContent>
      </w:r>
    </w:p>
    <w:p w14:paraId="229DCA69">
      <w:pPr>
        <w:spacing w:line="360" w:lineRule="auto"/>
        <w:rPr>
          <w:b/>
          <w:spacing w:val="20"/>
          <w:sz w:val="28"/>
          <w:szCs w:val="28"/>
        </w:rPr>
      </w:pPr>
      <w:r>
        <w:rPr>
          <w:rFonts w:hint="eastAsia"/>
          <w:b/>
          <w:spacing w:val="20"/>
          <w:sz w:val="28"/>
          <w:szCs w:val="28"/>
        </w:rPr>
        <w:t>中煤第五建设有限公司：</w:t>
      </w:r>
    </w:p>
    <w:p w14:paraId="1A6AE9D3">
      <w:pPr>
        <w:pStyle w:val="2"/>
        <w:snapToGrid w:val="0"/>
        <w:spacing w:before="0" w:after="0" w:line="360" w:lineRule="auto"/>
        <w:ind w:firstLine="480" w:firstLineChars="200"/>
      </w:pPr>
      <w:r>
        <w:rPr>
          <w:rFonts w:hint="eastAsia"/>
        </w:rPr>
        <w:t>北京中致成国际资产评估有限公司接受贵公司的委托，遵守法律、行政法规和资产评估准则的规定，坚持独立、客观、公正的原则，履行适当的资产评估程序，</w:t>
      </w:r>
      <w:bookmarkStart w:id="3" w:name="_Hlk194429334"/>
      <w:r>
        <w:rPr>
          <w:rFonts w:hint="eastAsia"/>
        </w:rPr>
        <w:t>采用成本法</w:t>
      </w:r>
      <w:bookmarkEnd w:id="3"/>
      <w:r>
        <w:rPr>
          <w:rFonts w:hint="eastAsia"/>
        </w:rPr>
        <w:t>，对中煤第五建设有限公司拟处置部分在用周转材料在评估基准日的市场价值进行了评估。现将资产评估报告摘要如下：</w:t>
      </w:r>
    </w:p>
    <w:p w14:paraId="129908AA">
      <w:pPr>
        <w:pStyle w:val="2"/>
        <w:snapToGrid w:val="0"/>
        <w:spacing w:before="0" w:after="0" w:line="360" w:lineRule="auto"/>
        <w:ind w:firstLine="480" w:firstLineChars="200"/>
      </w:pPr>
      <w:r>
        <w:rPr>
          <w:rFonts w:hint="eastAsia"/>
        </w:rPr>
        <w:t>评估目的：</w:t>
      </w:r>
      <w:r>
        <w:rPr>
          <w:rFonts w:hint="eastAsia"/>
          <w:szCs w:val="24"/>
        </w:rPr>
        <w:t>根据</w:t>
      </w:r>
      <w:bookmarkStart w:id="4" w:name="_Hlk194477665"/>
      <w:r>
        <w:rPr>
          <w:rFonts w:hint="eastAsia"/>
          <w:szCs w:val="24"/>
        </w:rPr>
        <w:t>中煤第五建设有限公司第三工程处办公室</w:t>
      </w:r>
      <w:r>
        <w:rPr>
          <w:rFonts w:hint="eastAsia"/>
        </w:rPr>
        <w:t>《中煤第五建设有限公司第三工程处处长办公会议纪要》（</w:t>
      </w:r>
      <w:r>
        <w:t>〔202</w:t>
      </w:r>
      <w:r>
        <w:rPr>
          <w:rFonts w:hint="eastAsia"/>
        </w:rPr>
        <w:t>5</w:t>
      </w:r>
      <w:r>
        <w:t>〕</w:t>
      </w:r>
      <w:r>
        <w:rPr>
          <w:rFonts w:hint="eastAsia"/>
        </w:rPr>
        <w:t>2</w:t>
      </w:r>
      <w:r>
        <w:t>2号</w:t>
      </w:r>
      <w:r>
        <w:rPr>
          <w:rFonts w:hint="eastAsia"/>
        </w:rPr>
        <w:t>）</w:t>
      </w:r>
      <w:bookmarkEnd w:id="4"/>
      <w:r>
        <w:rPr>
          <w:rFonts w:hint="eastAsia"/>
          <w:szCs w:val="24"/>
        </w:rPr>
        <w:t>，</w:t>
      </w:r>
      <w:bookmarkStart w:id="5" w:name="_Hlk191990045"/>
      <w:r>
        <w:rPr>
          <w:rFonts w:hint="eastAsia" w:ascii="宋体" w:hAnsi="宋体"/>
          <w:szCs w:val="28"/>
        </w:rPr>
        <w:t>中煤第五建设有限公司拟处置部分在用周转材料</w:t>
      </w:r>
      <w:bookmarkEnd w:id="5"/>
      <w:r>
        <w:rPr>
          <w:rFonts w:hint="eastAsia"/>
        </w:rPr>
        <w:t>，为此需要对评估基准日</w:t>
      </w:r>
      <w:r>
        <w:rPr>
          <w:rFonts w:hint="eastAsia" w:ascii="宋体" w:hAnsi="宋体"/>
          <w:szCs w:val="28"/>
        </w:rPr>
        <w:t>中煤第五建设有限公司拟处置部分在用周转材料</w:t>
      </w:r>
      <w:r>
        <w:rPr>
          <w:rFonts w:hint="eastAsia"/>
        </w:rPr>
        <w:t>的市场价值进行评估，为该经济行为提供价值参考依据。</w:t>
      </w:r>
    </w:p>
    <w:p w14:paraId="13EE2067">
      <w:pPr>
        <w:pStyle w:val="2"/>
        <w:snapToGrid w:val="0"/>
        <w:spacing w:before="0" w:after="0" w:line="360" w:lineRule="auto"/>
        <w:ind w:firstLine="480" w:firstLineChars="200"/>
      </w:pPr>
      <w:r>
        <w:rPr>
          <w:rFonts w:hint="eastAsia"/>
        </w:rPr>
        <w:t>评估对象：</w:t>
      </w:r>
      <w:bookmarkStart w:id="6" w:name="_Hlk191989905"/>
      <w:r>
        <w:rPr>
          <w:rFonts w:hint="eastAsia"/>
        </w:rPr>
        <w:t>中煤第五建设有限公司拟处置部分在用周转材料的市场价值</w:t>
      </w:r>
      <w:bookmarkEnd w:id="6"/>
      <w:r>
        <w:rPr>
          <w:rFonts w:hint="eastAsia"/>
        </w:rPr>
        <w:t>。</w:t>
      </w:r>
    </w:p>
    <w:p w14:paraId="315DBD33">
      <w:pPr>
        <w:pStyle w:val="2"/>
        <w:snapToGrid w:val="0"/>
        <w:spacing w:before="0" w:after="0" w:line="360" w:lineRule="auto"/>
        <w:ind w:firstLine="480" w:firstLineChars="200"/>
      </w:pPr>
      <w:r>
        <w:rPr>
          <w:rFonts w:hint="eastAsia"/>
        </w:rPr>
        <w:t>评估范围：</w:t>
      </w:r>
      <w:r>
        <w:rPr>
          <w:rFonts w:hint="eastAsia" w:ascii="宋体" w:hAnsi="宋体"/>
          <w:szCs w:val="28"/>
        </w:rPr>
        <w:t>评估范围为中煤第五建设有限公司拟处置部分在用周转材料</w:t>
      </w:r>
      <w:r>
        <w:rPr>
          <w:rFonts w:hint="eastAsia"/>
        </w:rPr>
        <w:t>,涉及账面价值3.56万元。</w:t>
      </w:r>
    </w:p>
    <w:p w14:paraId="743026B0">
      <w:pPr>
        <w:pStyle w:val="2"/>
        <w:snapToGrid w:val="0"/>
        <w:spacing w:before="0" w:after="0" w:line="360" w:lineRule="auto"/>
        <w:ind w:firstLine="480" w:firstLineChars="200"/>
      </w:pPr>
      <w:r>
        <w:rPr>
          <w:rFonts w:hint="eastAsia"/>
        </w:rPr>
        <w:t>评估基准日：</w:t>
      </w:r>
      <w:r>
        <w:t>202</w:t>
      </w:r>
      <w:r>
        <w:rPr>
          <w:rFonts w:hint="eastAsia"/>
        </w:rPr>
        <w:t>5年7月31日</w:t>
      </w:r>
    </w:p>
    <w:p w14:paraId="764933FB">
      <w:pPr>
        <w:pStyle w:val="2"/>
        <w:snapToGrid w:val="0"/>
        <w:spacing w:before="0" w:after="0" w:line="360" w:lineRule="auto"/>
        <w:ind w:firstLine="480" w:firstLineChars="200"/>
      </w:pPr>
      <w:r>
        <w:rPr>
          <w:rFonts w:hint="eastAsia"/>
        </w:rPr>
        <w:t>价值类型：市场价值</w:t>
      </w:r>
    </w:p>
    <w:p w14:paraId="715C22BC">
      <w:pPr>
        <w:pStyle w:val="2"/>
        <w:snapToGrid w:val="0"/>
        <w:spacing w:before="0" w:after="0" w:line="360" w:lineRule="auto"/>
        <w:ind w:firstLine="480" w:firstLineChars="200"/>
        <w:rPr>
          <w:color w:val="FF0000"/>
        </w:rPr>
      </w:pPr>
      <w:r>
        <w:rPr>
          <w:rFonts w:hint="eastAsia"/>
        </w:rPr>
        <w:t>评估方法：成本法</w:t>
      </w:r>
    </w:p>
    <w:p w14:paraId="76AD7E8E">
      <w:pPr>
        <w:pStyle w:val="2"/>
        <w:snapToGrid w:val="0"/>
        <w:spacing w:before="0" w:after="0" w:line="360" w:lineRule="auto"/>
        <w:ind w:firstLine="480" w:firstLineChars="200"/>
      </w:pPr>
      <w:r>
        <w:rPr>
          <w:rFonts w:hint="eastAsia"/>
        </w:rPr>
        <w:t>评估结论：经评估，中煤第五建设有限公司拟处置部分在用周转材料在评估基准日账面价值为3.56万元，不含税评估价值2</w:t>
      </w:r>
      <w:r>
        <w:rPr>
          <w:rFonts w:hint="eastAsia"/>
          <w:lang w:val="en-US" w:eastAsia="zh-CN"/>
        </w:rPr>
        <w:t>83.71</w:t>
      </w:r>
      <w:r>
        <w:rPr>
          <w:rFonts w:hint="eastAsia"/>
        </w:rPr>
        <w:t>万元，增值额为2</w:t>
      </w:r>
      <w:r>
        <w:rPr>
          <w:rFonts w:hint="eastAsia"/>
          <w:lang w:val="en-US" w:eastAsia="zh-CN"/>
        </w:rPr>
        <w:t>80.15</w:t>
      </w:r>
      <w:r>
        <w:rPr>
          <w:rFonts w:hint="eastAsia"/>
        </w:rPr>
        <w:t>万元，增值率为7,</w:t>
      </w:r>
      <w:r>
        <w:rPr>
          <w:rFonts w:hint="eastAsia"/>
          <w:lang w:val="en-US" w:eastAsia="zh-CN"/>
        </w:rPr>
        <w:t>878.80</w:t>
      </w:r>
      <w:r>
        <w:rPr>
          <w:rFonts w:hint="eastAsia"/>
        </w:rPr>
        <w:t>%。</w:t>
      </w:r>
    </w:p>
    <w:p w14:paraId="78DCFBF4">
      <w:pPr>
        <w:pStyle w:val="2"/>
        <w:snapToGrid w:val="0"/>
        <w:spacing w:before="0" w:after="0" w:line="360" w:lineRule="auto"/>
        <w:ind w:firstLine="480" w:firstLineChars="200"/>
      </w:pPr>
      <w:r>
        <w:rPr>
          <w:rFonts w:hint="eastAsia"/>
        </w:rPr>
        <w:t>资产评估报告使用人应当充分考虑资产评估报告中载明的假设、限定条件、特别事项说明对评估结论的影响。</w:t>
      </w:r>
    </w:p>
    <w:p w14:paraId="50BAAEE9">
      <w:pPr>
        <w:pStyle w:val="2"/>
        <w:snapToGrid w:val="0"/>
        <w:spacing w:before="0" w:after="0" w:line="360" w:lineRule="auto"/>
        <w:ind w:firstLine="480" w:firstLineChars="200"/>
      </w:pPr>
      <w:r>
        <w:rPr>
          <w:rFonts w:hint="eastAsia"/>
        </w:rPr>
        <w:t>对于本报告正文中第十一项“特别事项说明”中有如下事项可能影响评估结论，但非资产评估师执业水平和能力所能评定估算的重大事项，提醒报告使用者特别关注以下几项</w:t>
      </w:r>
      <w:r>
        <w:t xml:space="preserve"> </w:t>
      </w:r>
      <w:r>
        <w:rPr>
          <w:rFonts w:hint="eastAsia"/>
        </w:rPr>
        <w:t>：</w:t>
      </w:r>
    </w:p>
    <w:p w14:paraId="24D4F072">
      <w:pPr>
        <w:pStyle w:val="2"/>
        <w:snapToGrid w:val="0"/>
        <w:spacing w:before="0" w:after="0" w:line="360" w:lineRule="auto"/>
        <w:ind w:firstLine="480" w:firstLineChars="200"/>
      </w:pPr>
      <w:r>
        <w:rPr>
          <w:rFonts w:hint="eastAsia"/>
        </w:rPr>
        <w:t>（一）</w:t>
      </w:r>
      <w:bookmarkStart w:id="7" w:name="_Hlk195190825"/>
      <w:r>
        <w:rPr>
          <w:rFonts w:hint="eastAsia"/>
        </w:rPr>
        <w:tab/>
      </w:r>
      <w:r>
        <w:rPr>
          <w:rFonts w:hint="eastAsia"/>
        </w:rPr>
        <w:t>本次评估结果不含增值税，提醒报告使用者注意</w:t>
      </w:r>
      <w:bookmarkEnd w:id="7"/>
      <w:r>
        <w:rPr>
          <w:rFonts w:hint="eastAsia"/>
        </w:rPr>
        <w:t>。</w:t>
      </w:r>
    </w:p>
    <w:p w14:paraId="18190A0D">
      <w:pPr>
        <w:pStyle w:val="2"/>
        <w:snapToGrid w:val="0"/>
        <w:spacing w:before="0" w:after="0" w:line="360" w:lineRule="auto"/>
        <w:ind w:firstLine="480" w:firstLineChars="200"/>
      </w:pPr>
      <w:bookmarkStart w:id="8" w:name="_Hlk196119407"/>
      <w:r>
        <w:rPr>
          <w:rFonts w:hint="eastAsia"/>
        </w:rPr>
        <w:t>（二）委估资产的数量、状态均由产权持有人提供。鉴于资产数量较多，评估人员结合相关资料核实后，对部分资产实施抽查。</w:t>
      </w:r>
    </w:p>
    <w:p w14:paraId="13A356E3">
      <w:pPr>
        <w:pStyle w:val="2"/>
        <w:snapToGrid w:val="0"/>
        <w:spacing w:before="0" w:after="0" w:line="360" w:lineRule="auto"/>
        <w:ind w:firstLine="480" w:firstLineChars="200"/>
      </w:pPr>
      <w:r>
        <w:rPr>
          <w:rFonts w:hint="eastAsia"/>
        </w:rPr>
        <w:t>（三）本次评估中，资产评估师未对各种设备在评估基准日的技术参数和性能做技术检测，资产评估师在假定被评估单位提供的有关技术资料和运行记录是真实有效的前提下，通过现场调查做出判断。</w:t>
      </w:r>
    </w:p>
    <w:bookmarkEnd w:id="8"/>
    <w:p w14:paraId="7C4904D9">
      <w:pPr>
        <w:pStyle w:val="2"/>
        <w:snapToGrid w:val="0"/>
        <w:spacing w:before="0" w:after="0" w:line="360" w:lineRule="auto"/>
        <w:ind w:firstLine="480" w:firstLineChars="200"/>
      </w:pPr>
      <w:r>
        <w:rPr>
          <w:rFonts w:hint="eastAsia"/>
        </w:rPr>
        <w:t>我们特别强调：本评估意见仅作为</w:t>
      </w:r>
      <w:r>
        <w:rPr>
          <w:rFonts w:hint="eastAsia"/>
          <w:szCs w:val="24"/>
        </w:rPr>
        <w:t>中煤第五建设有限公司拟处置部分在用周转材料</w:t>
      </w:r>
      <w:r>
        <w:rPr>
          <w:rFonts w:hint="eastAsia"/>
        </w:rPr>
        <w:t>的市场价值参考依据，而不能取代交易各方最终价格的决定。</w:t>
      </w:r>
    </w:p>
    <w:p w14:paraId="184BF67D">
      <w:pPr>
        <w:pStyle w:val="2"/>
        <w:snapToGrid w:val="0"/>
        <w:spacing w:before="0" w:after="0" w:line="360" w:lineRule="auto"/>
        <w:ind w:firstLine="480" w:firstLineChars="200"/>
      </w:pPr>
      <w:r>
        <w:rPr>
          <w:rFonts w:hint="eastAsia"/>
        </w:rPr>
        <w:t>本报告及其结论仅用于本报告设定的评估目的，而不能用于其他目的。</w:t>
      </w:r>
    </w:p>
    <w:p w14:paraId="353BE46A">
      <w:pPr>
        <w:pStyle w:val="2"/>
        <w:snapToGrid w:val="0"/>
        <w:spacing w:before="0" w:after="0" w:line="360" w:lineRule="auto"/>
        <w:ind w:firstLine="480" w:firstLineChars="200"/>
      </w:pPr>
      <w:r>
        <w:rPr>
          <w:rFonts w:hint="eastAsia"/>
        </w:rPr>
        <w:t>根据国家的有关规定，本评估结论使用的有效期限为</w:t>
      </w:r>
      <w:r>
        <w:t>1</w:t>
      </w:r>
      <w:r>
        <w:rPr>
          <w:rFonts w:hint="eastAsia"/>
        </w:rPr>
        <w:t>年，自评估基准日2025年7月31日起，至2026年7月30日止。</w:t>
      </w:r>
    </w:p>
    <w:p w14:paraId="55B68987">
      <w:pPr>
        <w:pStyle w:val="2"/>
        <w:ind w:firstLine="0"/>
        <w:jc w:val="center"/>
        <w:rPr>
          <w:b/>
        </w:rPr>
      </w:pPr>
    </w:p>
    <w:p w14:paraId="56C6E3C5">
      <w:pPr>
        <w:rPr>
          <w:b/>
        </w:rPr>
      </w:pPr>
    </w:p>
    <w:p w14:paraId="271CF3B4">
      <w:pPr>
        <w:pStyle w:val="2"/>
        <w:rPr>
          <w:b/>
        </w:rPr>
      </w:pPr>
      <w:r>
        <w:rPr>
          <w:b/>
        </w:rPr>
        <w:br w:type="page"/>
      </w:r>
    </w:p>
    <w:p w14:paraId="1CBE12E4">
      <w:pPr>
        <w:pStyle w:val="2"/>
        <w:spacing w:before="0" w:after="0" w:line="360" w:lineRule="auto"/>
        <w:ind w:firstLine="0"/>
        <w:jc w:val="center"/>
        <w:rPr>
          <w:b/>
          <w:sz w:val="28"/>
          <w:szCs w:val="28"/>
        </w:rPr>
      </w:pPr>
      <w:bookmarkStart w:id="9" w:name="_Toc112232543"/>
      <w:r>
        <w:rPr>
          <w:rFonts w:hint="eastAsia"/>
          <w:b/>
          <w:sz w:val="28"/>
          <w:szCs w:val="28"/>
        </w:rPr>
        <w:t>中煤第五建设有限公司拟处置部分在用周转材料</w:t>
      </w:r>
    </w:p>
    <w:p w14:paraId="42E767C8">
      <w:pPr>
        <w:pStyle w:val="2"/>
        <w:spacing w:before="0" w:after="0" w:line="360" w:lineRule="auto"/>
        <w:ind w:firstLine="0"/>
        <w:jc w:val="center"/>
        <w:rPr>
          <w:b/>
          <w:sz w:val="28"/>
          <w:szCs w:val="28"/>
        </w:rPr>
      </w:pPr>
      <w:r>
        <w:rPr>
          <w:rFonts w:hint="eastAsia"/>
          <w:b/>
          <w:sz w:val="28"/>
          <w:szCs w:val="28"/>
        </w:rPr>
        <w:t>的市场价值项目</w:t>
      </w:r>
    </w:p>
    <w:p w14:paraId="42852AEA">
      <w:pPr>
        <w:pStyle w:val="4"/>
        <w:adjustRightInd/>
        <w:spacing w:before="0" w:after="0" w:line="360" w:lineRule="auto"/>
        <w:ind w:firstLine="0"/>
        <w:jc w:val="center"/>
        <w:textAlignment w:val="auto"/>
        <w:rPr>
          <w:rFonts w:ascii="Times New Roman" w:hAnsi="Times New Roman" w:eastAsia="宋体"/>
          <w:b w:val="0"/>
          <w:spacing w:val="20"/>
          <w:sz w:val="36"/>
        </w:rPr>
      </w:pPr>
      <w:r>
        <w:rPr>
          <w:rStyle w:val="53"/>
          <w:rFonts w:hint="eastAsia" w:ascii="Times New Roman" w:hAnsi="Times New Roman" w:eastAsia="宋体"/>
          <w:b/>
          <w:szCs w:val="36"/>
        </w:rPr>
        <w:t>资产评估报告正文</w:t>
      </w:r>
      <w:bookmarkEnd w:id="9"/>
    </w:p>
    <w:p w14:paraId="09CC22E3">
      <w:pPr>
        <w:spacing w:line="360" w:lineRule="auto"/>
        <w:jc w:val="center"/>
        <w:rPr>
          <w:szCs w:val="24"/>
        </w:rPr>
      </w:pPr>
      <w:r>
        <w:rPr>
          <w:rFonts w:hint="eastAsia"/>
          <w:szCs w:val="24"/>
        </w:rPr>
        <w:t>中致成评报字</w:t>
      </w:r>
      <w:r>
        <w:rPr>
          <w:szCs w:val="24"/>
        </w:rPr>
        <w:t>[2025]</w:t>
      </w:r>
      <w:r>
        <w:rPr>
          <w:rFonts w:hint="eastAsia"/>
          <w:szCs w:val="24"/>
        </w:rPr>
        <w:t>第0279号</w:t>
      </w:r>
    </w:p>
    <w:p w14:paraId="776303B3">
      <w:pPr>
        <w:spacing w:line="360" w:lineRule="auto"/>
        <w:rPr>
          <w:b/>
          <w:spacing w:val="20"/>
          <w:sz w:val="28"/>
          <w:szCs w:val="28"/>
        </w:rPr>
      </w:pPr>
      <w:r>
        <w:rPr>
          <w:rFonts w:hint="eastAsia"/>
          <w:b/>
          <w:spacing w:val="20"/>
          <w:sz w:val="28"/>
          <w:szCs w:val="28"/>
        </w:rPr>
        <w:t>中煤第五建设有限公司：</w:t>
      </w:r>
    </w:p>
    <w:p w14:paraId="2C91F4CC">
      <w:pPr>
        <w:pStyle w:val="2"/>
        <w:snapToGrid w:val="0"/>
        <w:spacing w:before="0" w:after="0" w:line="360" w:lineRule="auto"/>
        <w:ind w:firstLine="480" w:firstLineChars="200"/>
      </w:pPr>
      <w:r>
        <w:rPr>
          <w:rFonts w:hint="eastAsia"/>
        </w:rPr>
        <w:t>北</w:t>
      </w:r>
      <w:r>
        <w:t>京中致成国际资产评估有限公司接受贵单位的委托，按照有关法律、行政法规和资产评估准则的规定，坚持独立、客观和公正的原则，</w:t>
      </w:r>
      <w:r>
        <w:rPr>
          <w:rFonts w:hint="eastAsia"/>
        </w:rPr>
        <w:t>采用成本法</w:t>
      </w:r>
      <w:r>
        <w:t>，按照必要的评估程序，对</w:t>
      </w:r>
      <w:r>
        <w:rPr>
          <w:rFonts w:hint="eastAsia" w:ascii="宋体" w:hAnsi="宋体"/>
          <w:szCs w:val="28"/>
        </w:rPr>
        <w:t>中煤第五建设有限公司拟处置部分在用周转材料</w:t>
      </w:r>
      <w:r>
        <w:t>在</w:t>
      </w:r>
      <w:r>
        <w:rPr>
          <w:rFonts w:hint="eastAsia"/>
        </w:rPr>
        <w:t>2025年7月31日</w:t>
      </w:r>
      <w:r>
        <w:t>的</w:t>
      </w:r>
      <w:r>
        <w:rPr>
          <w:rFonts w:hint="eastAsia"/>
        </w:rPr>
        <w:t>市场</w:t>
      </w:r>
      <w:r>
        <w:t>价值进行了评估。现将资产评估情况报告如下</w:t>
      </w:r>
      <w:r>
        <w:rPr>
          <w:rFonts w:hint="eastAsia"/>
        </w:rPr>
        <w:t>。</w:t>
      </w:r>
    </w:p>
    <w:p w14:paraId="7668F8DE">
      <w:pPr>
        <w:pStyle w:val="4"/>
        <w:spacing w:before="60" w:after="60" w:line="360" w:lineRule="auto"/>
        <w:ind w:firstLine="562" w:firstLineChars="200"/>
        <w:rPr>
          <w:rFonts w:ascii="Times New Roman" w:hAnsi="Times New Roman" w:eastAsia="宋体"/>
        </w:rPr>
      </w:pPr>
      <w:bookmarkStart w:id="10" w:name="_Toc112232544"/>
      <w:bookmarkStart w:id="11" w:name="_Toc490978137"/>
      <w:bookmarkStart w:id="12" w:name="_Toc403664411"/>
      <w:r>
        <w:rPr>
          <w:rFonts w:hint="eastAsia" w:ascii="Times New Roman" w:hAnsi="Times New Roman" w:eastAsia="宋体"/>
          <w:sz w:val="28"/>
        </w:rPr>
        <w:t>一、委托人暨产权持有人和评估委托合同约定的其他评估报告使用者概况</w:t>
      </w:r>
      <w:bookmarkEnd w:id="10"/>
    </w:p>
    <w:p w14:paraId="342056C8">
      <w:pPr>
        <w:pStyle w:val="62"/>
        <w:numPr>
          <w:ilvl w:val="0"/>
          <w:numId w:val="2"/>
        </w:numPr>
        <w:tabs>
          <w:tab w:val="left" w:pos="1134"/>
        </w:tabs>
        <w:snapToGrid w:val="0"/>
        <w:spacing w:line="360" w:lineRule="auto"/>
        <w:ind w:firstLineChars="0"/>
        <w:outlineLvl w:val="2"/>
        <w:rPr>
          <w:b/>
          <w:sz w:val="22"/>
          <w:szCs w:val="18"/>
        </w:rPr>
      </w:pPr>
      <w:bookmarkStart w:id="13" w:name="_Toc112056398"/>
      <w:bookmarkStart w:id="14" w:name="_Toc110605187"/>
      <w:bookmarkStart w:id="15" w:name="_Toc492260129"/>
      <w:r>
        <w:rPr>
          <w:b/>
          <w:szCs w:val="18"/>
        </w:rPr>
        <w:t>委</w:t>
      </w:r>
      <w:bookmarkEnd w:id="13"/>
      <w:bookmarkEnd w:id="14"/>
      <w:r>
        <w:rPr>
          <w:rFonts w:hint="eastAsia"/>
          <w:b/>
          <w:szCs w:val="18"/>
        </w:rPr>
        <w:t>托人暨产权持有人概况</w:t>
      </w:r>
    </w:p>
    <w:p w14:paraId="57AE137E">
      <w:pPr>
        <w:pStyle w:val="2"/>
        <w:snapToGrid w:val="0"/>
        <w:spacing w:before="0" w:after="0" w:line="360" w:lineRule="auto"/>
        <w:ind w:firstLine="480" w:firstLineChars="200"/>
      </w:pPr>
      <w:r>
        <w:rPr>
          <w:rFonts w:hint="eastAsia"/>
        </w:rPr>
        <w:t>企业名称：</w:t>
      </w:r>
      <w:r>
        <w:rPr>
          <w:rFonts w:hint="eastAsia" w:ascii="宋体" w:hAnsi="宋体"/>
          <w:szCs w:val="28"/>
        </w:rPr>
        <w:t>中煤第五建设有限公司</w:t>
      </w:r>
    </w:p>
    <w:p w14:paraId="4C2EA4A3">
      <w:pPr>
        <w:pStyle w:val="2"/>
        <w:snapToGrid w:val="0"/>
        <w:spacing w:before="0" w:after="0" w:line="360" w:lineRule="auto"/>
        <w:ind w:firstLine="480" w:firstLineChars="200"/>
      </w:pPr>
      <w:r>
        <w:rPr>
          <w:rFonts w:hint="eastAsia"/>
        </w:rPr>
        <w:t>注册地址：徐州市淮海西路241号</w:t>
      </w:r>
    </w:p>
    <w:p w14:paraId="346ECF37">
      <w:pPr>
        <w:pStyle w:val="2"/>
        <w:snapToGrid w:val="0"/>
        <w:spacing w:before="0" w:after="0" w:line="360" w:lineRule="auto"/>
        <w:ind w:firstLine="480" w:firstLineChars="200"/>
      </w:pPr>
      <w:r>
        <w:rPr>
          <w:rFonts w:hint="eastAsia"/>
        </w:rPr>
        <w:t>法定代表人：王继全</w:t>
      </w:r>
    </w:p>
    <w:p w14:paraId="1A104E32">
      <w:pPr>
        <w:pStyle w:val="2"/>
        <w:snapToGrid w:val="0"/>
        <w:spacing w:before="0" w:after="0" w:line="360" w:lineRule="auto"/>
        <w:ind w:firstLine="480" w:firstLineChars="200"/>
      </w:pPr>
      <w:r>
        <w:rPr>
          <w:rFonts w:hint="eastAsia"/>
        </w:rPr>
        <w:t xml:space="preserve">注册资本：151158.700025万元 </w:t>
      </w:r>
    </w:p>
    <w:p w14:paraId="7E948623">
      <w:pPr>
        <w:pStyle w:val="2"/>
        <w:snapToGrid w:val="0"/>
        <w:spacing w:before="0" w:after="0" w:line="360" w:lineRule="auto"/>
        <w:ind w:firstLine="480" w:firstLineChars="200"/>
      </w:pPr>
      <w:r>
        <w:rPr>
          <w:rFonts w:hint="eastAsia"/>
        </w:rPr>
        <w:t>企业类型：有限责任公司（非自然人投资或控股的法人独资）</w:t>
      </w:r>
    </w:p>
    <w:p w14:paraId="22EAF2D7">
      <w:pPr>
        <w:pStyle w:val="2"/>
        <w:snapToGrid w:val="0"/>
        <w:spacing w:before="0" w:after="0" w:line="360" w:lineRule="auto"/>
        <w:ind w:firstLine="480" w:firstLineChars="200"/>
      </w:pPr>
      <w:r>
        <w:rPr>
          <w:rFonts w:hint="eastAsia"/>
        </w:rPr>
        <w:t>成立日期：1987-12-05</w:t>
      </w:r>
    </w:p>
    <w:p w14:paraId="2A72DAFA">
      <w:pPr>
        <w:pStyle w:val="2"/>
        <w:snapToGrid w:val="0"/>
        <w:spacing w:before="0" w:after="0" w:line="360" w:lineRule="auto"/>
        <w:ind w:firstLine="480" w:firstLineChars="200"/>
      </w:pPr>
      <w:r>
        <w:rPr>
          <w:rFonts w:hint="eastAsia"/>
        </w:rPr>
        <w:t>统一社会信用代码：91320000134750579J</w:t>
      </w:r>
    </w:p>
    <w:p w14:paraId="13477D7E">
      <w:pPr>
        <w:pStyle w:val="2"/>
        <w:snapToGrid w:val="0"/>
        <w:spacing w:before="0" w:after="0" w:line="360" w:lineRule="auto"/>
        <w:ind w:firstLine="480" w:firstLineChars="200"/>
      </w:pPr>
      <w:r>
        <w:rPr>
          <w:rFonts w:hint="eastAsia"/>
        </w:rPr>
        <w:t>经营范围：许可项目：施工专业作业；地质灾害治理工程勘查；电气安装服务；特种设备检验检测；特种设备设计；住宿服务；烟草制品零售；餐饮服务；煤炭开采；非煤矿山矿产资源开采；特种设备安装改造修理；建筑劳务分包；建设工程施工；房地产开发经营；建设工程勘察；理发服务；生活美容服务；劳务派遣服务（依法须经批准的项目，经相关部门批准后方可开展经营活动，具体经营项目以审批结果为准）</w:t>
      </w:r>
    </w:p>
    <w:p w14:paraId="38A607FE">
      <w:pPr>
        <w:pStyle w:val="2"/>
        <w:snapToGrid w:val="0"/>
        <w:spacing w:before="0" w:after="0" w:line="360" w:lineRule="auto"/>
        <w:ind w:firstLine="0"/>
      </w:pPr>
      <w:r>
        <w:rPr>
          <w:rFonts w:hint="eastAsia"/>
        </w:rPr>
        <w:t>一般项目：打字复印；停车场服务；租赁服务（不含许可类租赁服务）；矿物洗选加工（除稀土、放射性矿产、钨）；旅客票务代理；办公服务；广告制作；煤炭洗选；金属材料销售；建筑材料销售；建筑装饰材料销售；金属丝绳及其制品销售；金属丝绳及其制品制造；电线、电缆经营；五金产品零售；日用百货销售；服装服饰批发；服装服饰零售；箱包销售；住房租赁；专用化学产品销售（不含危险化学品）；光伏设备及元器件制造；光伏设备及元器件销售；光伏发电设备租赁；太阳能发电技术服务；新能源原动设备制造；建筑用石加工；水泥制品制造；水泥制品销售；建筑砌块制造；消防器材销售；供冷服务；普通机械设备安装服务；专用设备制造（不含许可类专业设备制造）；专用设备修理；涂料制造（不含危险化学品）；防腐材料销售；金属结构制造；金属结构销售；工程和技术研究和试验发展；汽车零配件批发；市政设施管理；汽车零配件零售；汽车零部件及配件制造；技术服务、技术开发、技术咨询、技术交流、技术转让、技术推广；技术进出口；进出口代理；物业管理；土壤污染治理与修复服务；棋牌室服务；工程管理服务；对外承包工程；矿山机械制造；矿山机械销售；货物进出口；劳务服务（不含劳务派遣）；轻质建筑材料制造；轻质建筑材料销售；土石方工程施工；机械设备销售；机械零件、零部件销售；橡胶制品销售；橡胶制品制造；风机、风扇制造；风机、风扇销售；特种劳动防护用品生产；特种劳动防护用品销售；选矿（除稀土、放射性矿产、钨）；通用设备制造（不含特种设备制造）；港口货物装卸搬运活动；消防技术服务；污水处理及其再生利用；建筑物清洁服务；工业机器人销售；工业机器人安装、维修；智能机器人销售；电池销售；电池零配件销售；储能技术服务；土壤环境污染防治服务；生态恢复及生态保护服务；业务培训（不含教育培训、职业技能培训等需取得许可的培训）（除依法须经批准的项目外，凭营业执照依法自主开展经营活动）。</w:t>
      </w:r>
    </w:p>
    <w:p w14:paraId="548D5E1C">
      <w:pPr>
        <w:pStyle w:val="62"/>
        <w:numPr>
          <w:ilvl w:val="0"/>
          <w:numId w:val="2"/>
        </w:numPr>
        <w:tabs>
          <w:tab w:val="left" w:pos="1134"/>
        </w:tabs>
        <w:snapToGrid w:val="0"/>
        <w:spacing w:line="360" w:lineRule="auto"/>
        <w:ind w:firstLineChars="0"/>
        <w:outlineLvl w:val="2"/>
        <w:rPr>
          <w:b/>
          <w:szCs w:val="18"/>
        </w:rPr>
      </w:pPr>
      <w:bookmarkStart w:id="16" w:name="_Toc112056400"/>
      <w:bookmarkStart w:id="17" w:name="_Toc110605189"/>
      <w:r>
        <w:rPr>
          <w:rFonts w:hint="eastAsia"/>
          <w:b/>
          <w:szCs w:val="18"/>
        </w:rPr>
        <w:t>资产评估委托合同约定的其他评估报告使用者</w:t>
      </w:r>
      <w:bookmarkEnd w:id="16"/>
      <w:bookmarkEnd w:id="17"/>
    </w:p>
    <w:p w14:paraId="4E6032E9">
      <w:pPr>
        <w:adjustRightInd w:val="0"/>
        <w:snapToGrid w:val="0"/>
        <w:spacing w:line="360" w:lineRule="auto"/>
        <w:ind w:firstLine="480" w:firstLineChars="200"/>
        <w:rPr>
          <w:color w:val="FF0000"/>
        </w:rPr>
      </w:pPr>
      <w:r>
        <w:rPr>
          <w:rFonts w:hint="eastAsia"/>
        </w:rPr>
        <w:t>本资产评估报告仅供委托人和法律、行政法规规定的评估报告使用人使用，无资产评估委托合同约定的其他资产评估报告使用人。除国家法律法规另有规定外，任何未经评估机构和委托人确认的机构或个人不能由于得到评估报告而成为评估报告使用人。</w:t>
      </w:r>
    </w:p>
    <w:p w14:paraId="5B8DED35">
      <w:pPr>
        <w:pStyle w:val="4"/>
        <w:spacing w:before="60" w:after="60" w:line="360" w:lineRule="auto"/>
        <w:ind w:firstLine="562" w:firstLineChars="200"/>
        <w:rPr>
          <w:rFonts w:ascii="Times New Roman" w:hAnsi="Times New Roman" w:eastAsia="宋体"/>
          <w:sz w:val="28"/>
        </w:rPr>
      </w:pPr>
      <w:bookmarkStart w:id="18" w:name="_Toc112232545"/>
      <w:r>
        <w:rPr>
          <w:rFonts w:hint="eastAsia" w:ascii="Times New Roman" w:hAnsi="Times New Roman" w:eastAsia="宋体"/>
          <w:sz w:val="28"/>
        </w:rPr>
        <w:t>二、评估目的</w:t>
      </w:r>
      <w:bookmarkEnd w:id="15"/>
      <w:bookmarkEnd w:id="18"/>
    </w:p>
    <w:p w14:paraId="6ED1FEEA">
      <w:pPr>
        <w:pStyle w:val="2"/>
        <w:snapToGrid w:val="0"/>
        <w:spacing w:before="0" w:after="0" w:line="360" w:lineRule="auto"/>
        <w:ind w:firstLine="480" w:firstLineChars="200"/>
      </w:pPr>
      <w:bookmarkStart w:id="19" w:name="_Toc492260130"/>
      <w:r>
        <w:rPr>
          <w:rFonts w:hint="eastAsia"/>
          <w:szCs w:val="24"/>
        </w:rPr>
        <w:t>根据</w:t>
      </w:r>
      <w:r>
        <w:rPr>
          <w:rFonts w:hint="eastAsia"/>
        </w:rPr>
        <w:t>中煤第五建设有限公司第三工程处办公室《中煤第五建设有限公司第三工程处处长办公会议纪要》（〔2025〕22号）</w:t>
      </w:r>
      <w:r>
        <w:rPr>
          <w:rFonts w:hint="eastAsia"/>
          <w:szCs w:val="24"/>
        </w:rPr>
        <w:t>，</w:t>
      </w:r>
      <w:r>
        <w:rPr>
          <w:rFonts w:hint="eastAsia" w:ascii="宋体" w:hAnsi="宋体"/>
          <w:szCs w:val="28"/>
        </w:rPr>
        <w:t>中煤第五建设有限公司拟处置部分在用周转材料</w:t>
      </w:r>
      <w:r>
        <w:rPr>
          <w:rFonts w:hint="eastAsia"/>
        </w:rPr>
        <w:t>，为此需要对评估基准日</w:t>
      </w:r>
      <w:r>
        <w:rPr>
          <w:rFonts w:hint="eastAsia" w:ascii="宋体" w:hAnsi="宋体"/>
          <w:szCs w:val="28"/>
        </w:rPr>
        <w:t>中煤第五建设有限公司拟处置部分在用周转材料</w:t>
      </w:r>
      <w:r>
        <w:rPr>
          <w:rFonts w:hint="eastAsia"/>
        </w:rPr>
        <w:t>的市场价值进行评估，为该经济行为提供价值参考依据。</w:t>
      </w:r>
    </w:p>
    <w:p w14:paraId="092D5018">
      <w:pPr>
        <w:pStyle w:val="4"/>
        <w:spacing w:before="60" w:after="60" w:line="360" w:lineRule="auto"/>
        <w:ind w:firstLine="562" w:firstLineChars="200"/>
        <w:rPr>
          <w:rFonts w:ascii="Times New Roman" w:hAnsi="Times New Roman" w:eastAsia="宋体"/>
          <w:sz w:val="28"/>
        </w:rPr>
      </w:pPr>
      <w:bookmarkStart w:id="20" w:name="_Toc112232546"/>
      <w:r>
        <w:rPr>
          <w:rFonts w:hint="eastAsia" w:ascii="Times New Roman" w:hAnsi="Times New Roman" w:eastAsia="宋体"/>
          <w:sz w:val="28"/>
        </w:rPr>
        <w:t>三、评估对象和评估范围</w:t>
      </w:r>
      <w:bookmarkEnd w:id="19"/>
      <w:bookmarkEnd w:id="20"/>
    </w:p>
    <w:p w14:paraId="2A667094">
      <w:pPr>
        <w:pStyle w:val="62"/>
        <w:numPr>
          <w:ilvl w:val="0"/>
          <w:numId w:val="3"/>
        </w:numPr>
        <w:tabs>
          <w:tab w:val="left" w:pos="1134"/>
        </w:tabs>
        <w:snapToGrid w:val="0"/>
        <w:spacing w:line="360" w:lineRule="auto"/>
        <w:ind w:firstLine="482"/>
        <w:outlineLvl w:val="2"/>
        <w:rPr>
          <w:b/>
          <w:szCs w:val="18"/>
        </w:rPr>
      </w:pPr>
      <w:r>
        <w:rPr>
          <w:rFonts w:hint="eastAsia"/>
          <w:b/>
          <w:szCs w:val="18"/>
        </w:rPr>
        <w:t>评估对象</w:t>
      </w:r>
    </w:p>
    <w:p w14:paraId="36F998A9">
      <w:pPr>
        <w:pStyle w:val="2"/>
        <w:snapToGrid w:val="0"/>
        <w:spacing w:before="0" w:after="0" w:line="360" w:lineRule="auto"/>
        <w:ind w:firstLine="480" w:firstLineChars="200"/>
      </w:pPr>
      <w:r>
        <w:rPr>
          <w:rFonts w:hint="eastAsia"/>
        </w:rPr>
        <w:t>评估对象为</w:t>
      </w:r>
      <w:r>
        <w:rPr>
          <w:rFonts w:hint="eastAsia" w:ascii="宋体" w:hAnsi="宋体"/>
          <w:szCs w:val="28"/>
        </w:rPr>
        <w:t>中煤第五建设有限公司拟处置部分在用周转材料的市场价值</w:t>
      </w:r>
      <w:r>
        <w:rPr>
          <w:rFonts w:hint="eastAsia"/>
        </w:rPr>
        <w:t>。</w:t>
      </w:r>
    </w:p>
    <w:p w14:paraId="20625C65">
      <w:pPr>
        <w:pStyle w:val="62"/>
        <w:numPr>
          <w:ilvl w:val="0"/>
          <w:numId w:val="3"/>
        </w:numPr>
        <w:tabs>
          <w:tab w:val="left" w:pos="1134"/>
        </w:tabs>
        <w:snapToGrid w:val="0"/>
        <w:spacing w:line="360" w:lineRule="auto"/>
        <w:ind w:firstLine="482"/>
        <w:outlineLvl w:val="2"/>
        <w:rPr>
          <w:b/>
          <w:szCs w:val="18"/>
        </w:rPr>
      </w:pPr>
      <w:r>
        <w:rPr>
          <w:rFonts w:hint="eastAsia"/>
          <w:b/>
          <w:szCs w:val="18"/>
        </w:rPr>
        <w:t>评估范围</w:t>
      </w:r>
    </w:p>
    <w:p w14:paraId="787F4FBA">
      <w:pPr>
        <w:adjustRightInd w:val="0"/>
        <w:snapToGrid w:val="0"/>
        <w:spacing w:line="360" w:lineRule="auto"/>
        <w:ind w:firstLine="480" w:firstLineChars="200"/>
        <w:textAlignment w:val="baseline"/>
      </w:pPr>
      <w:r>
        <w:rPr>
          <w:rFonts w:hint="eastAsia" w:ascii="宋体" w:hAnsi="宋体"/>
          <w:szCs w:val="28"/>
        </w:rPr>
        <w:t>评估范围为中煤第五建设有限公司拟处置部分在用周转材料</w:t>
      </w:r>
      <w:r>
        <w:rPr>
          <w:rFonts w:hint="eastAsia"/>
        </w:rPr>
        <w:t>,涉及账面价值3.56万元。</w:t>
      </w:r>
      <w:bookmarkStart w:id="21" w:name="_Hlk174956799"/>
    </w:p>
    <w:bookmarkEnd w:id="21"/>
    <w:p w14:paraId="472285E3">
      <w:pPr>
        <w:adjustRightInd w:val="0"/>
        <w:snapToGrid w:val="0"/>
        <w:spacing w:line="360" w:lineRule="auto"/>
        <w:ind w:firstLine="480" w:firstLineChars="200"/>
        <w:textAlignment w:val="baseline"/>
        <w:rPr>
          <w:kern w:val="0"/>
        </w:rPr>
      </w:pPr>
      <w:bookmarkStart w:id="22" w:name="_Hlk196629968"/>
      <w:r>
        <w:t>纳入评估范围的</w:t>
      </w:r>
      <w:r>
        <w:rPr>
          <w:rFonts w:hint="eastAsia"/>
        </w:rPr>
        <w:t>资产共384</w:t>
      </w:r>
      <w:r>
        <w:t>项，</w:t>
      </w:r>
      <w:bookmarkStart w:id="23" w:name="_Hlk191562089"/>
      <w:r>
        <w:rPr>
          <w:rFonts w:hint="eastAsia"/>
        </w:rPr>
        <w:t>主要为低压电缆、高压电缆、主提升钢丝绳等在用周转材料，资产均在</w:t>
      </w:r>
      <w:r>
        <w:rPr>
          <w:rFonts w:hint="eastAsia" w:ascii="宋体" w:hAnsi="宋体"/>
          <w:szCs w:val="28"/>
        </w:rPr>
        <w:t>中煤第五建设有限公司现场</w:t>
      </w:r>
      <w:bookmarkEnd w:id="23"/>
      <w:r>
        <w:rPr>
          <w:rFonts w:hint="eastAsia"/>
        </w:rPr>
        <w:t>正常</w:t>
      </w:r>
      <w:r>
        <w:rPr>
          <w:rFonts w:hint="eastAsia" w:ascii="宋体" w:hAnsi="宋体"/>
          <w:szCs w:val="28"/>
        </w:rPr>
        <w:t>使用</w:t>
      </w:r>
      <w:r>
        <w:rPr>
          <w:rFonts w:hint="eastAsia"/>
        </w:rPr>
        <w:t>，</w:t>
      </w:r>
      <w:r>
        <w:t>详见评估明细表</w:t>
      </w:r>
      <w:bookmarkEnd w:id="22"/>
      <w:r>
        <w:rPr>
          <w:rFonts w:hint="eastAsia"/>
        </w:rPr>
        <w:t>。</w:t>
      </w:r>
    </w:p>
    <w:p w14:paraId="12771DEC">
      <w:pPr>
        <w:adjustRightInd w:val="0"/>
        <w:snapToGrid w:val="0"/>
        <w:spacing w:line="360" w:lineRule="auto"/>
        <w:ind w:firstLine="480" w:firstLineChars="200"/>
        <w:textAlignment w:val="baseline"/>
        <w:rPr>
          <w:kern w:val="0"/>
        </w:rPr>
      </w:pPr>
      <w:r>
        <w:rPr>
          <w:kern w:val="0"/>
        </w:rPr>
        <w:t>经核查，委估资产未设立他项权利。</w:t>
      </w:r>
    </w:p>
    <w:p w14:paraId="7EC3B302">
      <w:pPr>
        <w:pStyle w:val="2"/>
        <w:snapToGrid w:val="0"/>
        <w:spacing w:before="0" w:after="0" w:line="360" w:lineRule="auto"/>
        <w:ind w:firstLine="480" w:firstLineChars="200"/>
      </w:pPr>
      <w:r>
        <w:rPr>
          <w:kern w:val="2"/>
        </w:rPr>
        <w:t>委托人暨产权持有人已承诺委托评估对象和评估范围与经济行为所涉及的评估对象和评估范围一致</w:t>
      </w:r>
      <w:r>
        <w:rPr>
          <w:rFonts w:hint="eastAsia"/>
        </w:rPr>
        <w:t>。</w:t>
      </w:r>
    </w:p>
    <w:p w14:paraId="34B7507C">
      <w:pPr>
        <w:pStyle w:val="4"/>
        <w:spacing w:before="60" w:after="60" w:line="360" w:lineRule="auto"/>
        <w:ind w:firstLine="562" w:firstLineChars="200"/>
        <w:rPr>
          <w:rFonts w:ascii="Times New Roman" w:hAnsi="Times New Roman" w:eastAsia="宋体"/>
          <w:sz w:val="28"/>
        </w:rPr>
      </w:pPr>
      <w:bookmarkStart w:id="24" w:name="_Toc153011971"/>
      <w:bookmarkStart w:id="25" w:name="_Toc112232547"/>
      <w:r>
        <w:rPr>
          <w:rFonts w:hint="eastAsia" w:ascii="Times New Roman" w:hAnsi="Times New Roman" w:eastAsia="宋体"/>
          <w:sz w:val="28"/>
        </w:rPr>
        <w:t>四、价值类型</w:t>
      </w:r>
      <w:bookmarkEnd w:id="24"/>
      <w:bookmarkEnd w:id="25"/>
    </w:p>
    <w:p w14:paraId="77976927">
      <w:pPr>
        <w:pStyle w:val="2"/>
        <w:snapToGrid w:val="0"/>
        <w:spacing w:line="360" w:lineRule="auto"/>
      </w:pPr>
      <w:r>
        <w:rPr>
          <w:rFonts w:hint="eastAsia"/>
        </w:rPr>
        <w:t>根据评估目的、市场条件、评估对象自身条件等因素，同时考虑价值类型与评估假设的相关性等，本次评估价值类型为市场价值。</w:t>
      </w:r>
    </w:p>
    <w:p w14:paraId="06AA01A5">
      <w:pPr>
        <w:pStyle w:val="2"/>
        <w:snapToGrid w:val="0"/>
        <w:spacing w:before="0" w:after="0" w:line="360" w:lineRule="auto"/>
      </w:pPr>
      <w:r>
        <w:rPr>
          <w:rFonts w:hint="eastAsia"/>
        </w:rPr>
        <w:t>市场价值是指自愿买方和自愿卖方在各自理性行事且未受任何强迫的情况下，评估对象在评估基准日进行正常公平交易的价值估计数额。</w:t>
      </w:r>
    </w:p>
    <w:p w14:paraId="430DCFD0">
      <w:pPr>
        <w:pStyle w:val="4"/>
        <w:spacing w:before="60" w:after="60" w:line="360" w:lineRule="auto"/>
        <w:ind w:firstLine="562" w:firstLineChars="200"/>
        <w:rPr>
          <w:rFonts w:ascii="Times New Roman" w:hAnsi="Times New Roman" w:eastAsia="宋体"/>
          <w:sz w:val="28"/>
        </w:rPr>
      </w:pPr>
      <w:bookmarkStart w:id="26" w:name="_Toc112232548"/>
      <w:r>
        <w:rPr>
          <w:rFonts w:hint="eastAsia" w:ascii="Times New Roman" w:hAnsi="Times New Roman" w:eastAsia="宋体"/>
          <w:sz w:val="28"/>
        </w:rPr>
        <w:t>五、评估基准日</w:t>
      </w:r>
      <w:bookmarkEnd w:id="11"/>
      <w:bookmarkEnd w:id="26"/>
    </w:p>
    <w:p w14:paraId="03EA333C">
      <w:pPr>
        <w:pStyle w:val="2"/>
        <w:snapToGrid w:val="0"/>
        <w:spacing w:before="0" w:after="0" w:line="360" w:lineRule="auto"/>
        <w:ind w:firstLine="480" w:firstLineChars="200"/>
      </w:pPr>
      <w:r>
        <w:rPr>
          <w:rFonts w:hint="eastAsia"/>
        </w:rPr>
        <w:t>评估基准日是2025年7月31日。</w:t>
      </w:r>
    </w:p>
    <w:p w14:paraId="4ABC4203">
      <w:pPr>
        <w:pStyle w:val="2"/>
        <w:snapToGrid w:val="0"/>
        <w:spacing w:before="0" w:after="0" w:line="360" w:lineRule="auto"/>
        <w:ind w:firstLine="480" w:firstLineChars="200"/>
      </w:pPr>
      <w:r>
        <w:rPr>
          <w:rFonts w:hint="eastAsia"/>
        </w:rPr>
        <w:t>评估基准日是由委托人根据有利于经济行为实现的原则及相关会计核算因素，能够全面反映评估对象资产的整体情况等因素综合确定，与资产评估委托合同约定的评估基准日一致。</w:t>
      </w:r>
    </w:p>
    <w:bookmarkEnd w:id="12"/>
    <w:p w14:paraId="333D564A">
      <w:pPr>
        <w:pStyle w:val="4"/>
        <w:spacing w:before="60" w:after="60" w:line="360" w:lineRule="auto"/>
        <w:ind w:firstLine="562" w:firstLineChars="200"/>
        <w:rPr>
          <w:rFonts w:ascii="Times New Roman" w:hAnsi="Times New Roman" w:eastAsia="宋体"/>
          <w:sz w:val="28"/>
        </w:rPr>
      </w:pPr>
      <w:bookmarkStart w:id="27" w:name="_Toc112232549"/>
      <w:bookmarkStart w:id="28" w:name="_Toc448559713"/>
      <w:r>
        <w:rPr>
          <w:rFonts w:hint="eastAsia" w:ascii="Times New Roman" w:hAnsi="Times New Roman" w:eastAsia="宋体"/>
          <w:sz w:val="28"/>
        </w:rPr>
        <w:t>六、评估依据</w:t>
      </w:r>
      <w:bookmarkEnd w:id="27"/>
    </w:p>
    <w:p w14:paraId="53242F9F">
      <w:pPr>
        <w:pStyle w:val="2"/>
        <w:snapToGrid w:val="0"/>
        <w:spacing w:before="0" w:after="0" w:line="360" w:lineRule="auto"/>
        <w:ind w:firstLine="480" w:firstLineChars="200"/>
      </w:pPr>
      <w:r>
        <w:rPr>
          <w:rFonts w:hint="eastAsia"/>
        </w:rPr>
        <w:t>本次评估工作中所遵循的经济行为依据、法律法规依据、评估准则依据、资产权属依据、评估取价依据及其他参考依据为：</w:t>
      </w:r>
    </w:p>
    <w:bookmarkEnd w:id="28"/>
    <w:p w14:paraId="2E43BF54">
      <w:pPr>
        <w:pStyle w:val="2"/>
        <w:widowControl/>
        <w:numPr>
          <w:ilvl w:val="0"/>
          <w:numId w:val="4"/>
        </w:numPr>
        <w:adjustRightInd/>
        <w:snapToGrid w:val="0"/>
        <w:spacing w:before="0" w:after="0" w:line="360" w:lineRule="auto"/>
        <w:textAlignment w:val="auto"/>
        <w:rPr>
          <w:b/>
          <w:bCs/>
        </w:rPr>
      </w:pPr>
      <w:bookmarkStart w:id="29" w:name="_Toc110605196"/>
      <w:bookmarkStart w:id="30" w:name="_Toc112056407"/>
      <w:r>
        <w:rPr>
          <w:rFonts w:hint="eastAsia"/>
          <w:b/>
          <w:bCs/>
        </w:rPr>
        <w:t>经济行为依据</w:t>
      </w:r>
      <w:bookmarkEnd w:id="29"/>
      <w:bookmarkEnd w:id="30"/>
    </w:p>
    <w:p w14:paraId="780FC7D0">
      <w:pPr>
        <w:pStyle w:val="2"/>
        <w:snapToGrid w:val="0"/>
        <w:spacing w:before="0" w:after="0" w:line="360" w:lineRule="auto"/>
        <w:ind w:firstLine="480" w:firstLineChars="200"/>
        <w:rPr>
          <w:highlight w:val="yellow"/>
        </w:rPr>
      </w:pPr>
      <w:r>
        <w:rPr>
          <w:rFonts w:hint="eastAsia"/>
          <w:szCs w:val="24"/>
        </w:rPr>
        <w:t>中煤第五建设有限公司第三工程处办公室2025年6月5日的</w:t>
      </w:r>
      <w:r>
        <w:rPr>
          <w:rFonts w:hint="eastAsia"/>
        </w:rPr>
        <w:t>《中煤第五建设有限公司第三工程处处长办公会议纪要》（</w:t>
      </w:r>
      <w:r>
        <w:t>〔202</w:t>
      </w:r>
      <w:r>
        <w:rPr>
          <w:rFonts w:hint="eastAsia"/>
        </w:rPr>
        <w:t>5</w:t>
      </w:r>
      <w:r>
        <w:t>〕</w:t>
      </w:r>
      <w:r>
        <w:rPr>
          <w:rFonts w:hint="eastAsia"/>
        </w:rPr>
        <w:t>2</w:t>
      </w:r>
      <w:r>
        <w:t>2号</w:t>
      </w:r>
      <w:r>
        <w:rPr>
          <w:rFonts w:hint="eastAsia"/>
        </w:rPr>
        <w:t>）。</w:t>
      </w:r>
    </w:p>
    <w:p w14:paraId="10716FA6">
      <w:pPr>
        <w:pStyle w:val="2"/>
        <w:widowControl/>
        <w:numPr>
          <w:ilvl w:val="0"/>
          <w:numId w:val="4"/>
        </w:numPr>
        <w:adjustRightInd/>
        <w:snapToGrid w:val="0"/>
        <w:spacing w:before="0" w:after="0" w:line="360" w:lineRule="auto"/>
        <w:textAlignment w:val="auto"/>
        <w:rPr>
          <w:b/>
          <w:bCs/>
        </w:rPr>
      </w:pPr>
      <w:bookmarkStart w:id="31" w:name="_Toc80893259"/>
      <w:bookmarkStart w:id="32" w:name="_Toc113244878"/>
      <w:bookmarkStart w:id="33" w:name="_Toc213846101"/>
      <w:bookmarkStart w:id="34" w:name="_Toc110605197"/>
      <w:bookmarkStart w:id="35" w:name="_Toc143578291"/>
      <w:bookmarkStart w:id="36" w:name="_Toc113332682"/>
      <w:bookmarkStart w:id="37" w:name="_Toc112056408"/>
      <w:r>
        <w:rPr>
          <w:rFonts w:hint="eastAsia"/>
          <w:b/>
          <w:bCs/>
        </w:rPr>
        <w:t>法律法规依据</w:t>
      </w:r>
      <w:bookmarkEnd w:id="31"/>
      <w:bookmarkEnd w:id="32"/>
      <w:bookmarkEnd w:id="33"/>
      <w:bookmarkEnd w:id="34"/>
      <w:bookmarkEnd w:id="35"/>
      <w:bookmarkEnd w:id="36"/>
      <w:bookmarkEnd w:id="37"/>
    </w:p>
    <w:p w14:paraId="6AD4FB29">
      <w:pPr>
        <w:pStyle w:val="2"/>
        <w:numPr>
          <w:ilvl w:val="0"/>
          <w:numId w:val="5"/>
        </w:numPr>
        <w:snapToGrid w:val="0"/>
        <w:spacing w:before="0" w:after="0" w:line="360" w:lineRule="auto"/>
        <w:ind w:left="0" w:firstLine="480" w:firstLineChars="200"/>
      </w:pPr>
      <w:r>
        <w:rPr>
          <w:rFonts w:hint="eastAsia"/>
        </w:rPr>
        <w:t>《中华人民共和国资产评估法》（</w:t>
      </w:r>
      <w:r>
        <w:t>2016</w:t>
      </w:r>
      <w:r>
        <w:rPr>
          <w:rFonts w:hint="eastAsia"/>
        </w:rPr>
        <w:t>年</w:t>
      </w:r>
      <w:r>
        <w:t>7</w:t>
      </w:r>
      <w:r>
        <w:rPr>
          <w:rFonts w:hint="eastAsia"/>
        </w:rPr>
        <w:t>月</w:t>
      </w:r>
      <w:r>
        <w:t>2</w:t>
      </w:r>
      <w:r>
        <w:rPr>
          <w:rFonts w:hint="eastAsia"/>
        </w:rPr>
        <w:t>日，中华人民共和国主席令第</w:t>
      </w:r>
      <w:r>
        <w:t>46</w:t>
      </w:r>
      <w:r>
        <w:rPr>
          <w:rFonts w:hint="eastAsia"/>
        </w:rPr>
        <w:t>号，中华人民共和国第十二届全国人民代表大会常务委员会第二十一次会议通过）；</w:t>
      </w:r>
    </w:p>
    <w:p w14:paraId="07B43528">
      <w:pPr>
        <w:pStyle w:val="2"/>
        <w:numPr>
          <w:ilvl w:val="0"/>
          <w:numId w:val="5"/>
        </w:numPr>
        <w:snapToGrid w:val="0"/>
        <w:spacing w:before="0" w:after="0" w:line="360" w:lineRule="auto"/>
        <w:ind w:left="0" w:firstLine="480" w:firstLineChars="200"/>
      </w:pPr>
      <w:r>
        <w:rPr>
          <w:rFonts w:hint="eastAsia"/>
        </w:rPr>
        <w:t>《中华人民共和国企业国有资产法》（</w:t>
      </w:r>
      <w:r>
        <w:t>2008</w:t>
      </w:r>
      <w:r>
        <w:rPr>
          <w:rFonts w:hint="eastAsia"/>
        </w:rPr>
        <w:t>年</w:t>
      </w:r>
      <w:r>
        <w:t>10</w:t>
      </w:r>
      <w:r>
        <w:rPr>
          <w:rFonts w:hint="eastAsia"/>
        </w:rPr>
        <w:t>月</w:t>
      </w:r>
      <w:r>
        <w:t>28</w:t>
      </w:r>
      <w:r>
        <w:rPr>
          <w:rFonts w:hint="eastAsia"/>
        </w:rPr>
        <w:t>日第十一届全国人民代表大会常务委员会第五次会议通过）；</w:t>
      </w:r>
    </w:p>
    <w:p w14:paraId="2767EA51">
      <w:pPr>
        <w:pStyle w:val="2"/>
        <w:numPr>
          <w:ilvl w:val="0"/>
          <w:numId w:val="5"/>
        </w:numPr>
        <w:snapToGrid w:val="0"/>
        <w:spacing w:before="0" w:after="0" w:line="360" w:lineRule="auto"/>
        <w:ind w:left="0" w:firstLine="480" w:firstLineChars="200"/>
      </w:pPr>
      <w:r>
        <w:rPr>
          <w:rFonts w:hint="eastAsia"/>
        </w:rPr>
        <w:t>《中华人民共和国民法典》（</w:t>
      </w:r>
      <w:r>
        <w:t>2020</w:t>
      </w:r>
      <w:r>
        <w:rPr>
          <w:rFonts w:hint="eastAsia"/>
        </w:rPr>
        <w:t>年</w:t>
      </w:r>
      <w:r>
        <w:t>5</w:t>
      </w:r>
      <w:r>
        <w:rPr>
          <w:rFonts w:hint="eastAsia"/>
        </w:rPr>
        <w:t>月</w:t>
      </w:r>
      <w:r>
        <w:t>28</w:t>
      </w:r>
      <w:r>
        <w:rPr>
          <w:rFonts w:hint="eastAsia"/>
        </w:rPr>
        <w:t>日第十三届全国人民代表大会第三次会议通过）；</w:t>
      </w:r>
    </w:p>
    <w:p w14:paraId="5894F466">
      <w:pPr>
        <w:pStyle w:val="2"/>
        <w:numPr>
          <w:ilvl w:val="0"/>
          <w:numId w:val="5"/>
        </w:numPr>
        <w:snapToGrid w:val="0"/>
        <w:spacing w:before="0" w:after="0" w:line="360" w:lineRule="auto"/>
        <w:ind w:left="0" w:firstLine="480" w:firstLineChars="200"/>
      </w:pPr>
      <w:r>
        <w:rPr>
          <w:rFonts w:hint="eastAsia"/>
        </w:rPr>
        <w:t>《中华人民共和国公司法》（</w:t>
      </w:r>
      <w:r>
        <w:t>1993</w:t>
      </w:r>
      <w:r>
        <w:rPr>
          <w:rFonts w:hint="eastAsia"/>
        </w:rPr>
        <w:t>年</w:t>
      </w:r>
      <w:r>
        <w:t>12</w:t>
      </w:r>
      <w:r>
        <w:rPr>
          <w:rFonts w:hint="eastAsia"/>
        </w:rPr>
        <w:t>月</w:t>
      </w:r>
      <w:r>
        <w:t>29</w:t>
      </w:r>
      <w:r>
        <w:rPr>
          <w:rFonts w:hint="eastAsia"/>
        </w:rPr>
        <w:t>日第八届全国人民代表大会常务委员会第五次会议通过，</w:t>
      </w:r>
      <w:bookmarkStart w:id="38" w:name="_Hlk185860609"/>
      <w:r>
        <w:t>2023</w:t>
      </w:r>
      <w:r>
        <w:rPr>
          <w:rFonts w:hint="eastAsia"/>
        </w:rPr>
        <w:t>年</w:t>
      </w:r>
      <w:r>
        <w:t>12</w:t>
      </w:r>
      <w:r>
        <w:rPr>
          <w:rFonts w:hint="eastAsia"/>
        </w:rPr>
        <w:t>月</w:t>
      </w:r>
      <w:r>
        <w:t>29</w:t>
      </w:r>
      <w:r>
        <w:rPr>
          <w:rFonts w:hint="eastAsia"/>
        </w:rPr>
        <w:t>日第十四届全国人民代表大会常务委员会第七次会议第二次修订</w:t>
      </w:r>
      <w:bookmarkEnd w:id="38"/>
      <w:r>
        <w:rPr>
          <w:rFonts w:hint="eastAsia"/>
        </w:rPr>
        <w:t>）；</w:t>
      </w:r>
    </w:p>
    <w:p w14:paraId="6570D820">
      <w:pPr>
        <w:pStyle w:val="2"/>
        <w:numPr>
          <w:ilvl w:val="0"/>
          <w:numId w:val="5"/>
        </w:numPr>
        <w:snapToGrid w:val="0"/>
        <w:spacing w:before="0" w:after="0" w:line="360" w:lineRule="auto"/>
        <w:ind w:left="0" w:firstLine="480" w:firstLineChars="200"/>
      </w:pPr>
      <w:r>
        <w:rPr>
          <w:rFonts w:hint="eastAsia"/>
        </w:rPr>
        <w:t>《国有资产评估管理办法》（</w:t>
      </w:r>
      <w:r>
        <w:t>1991</w:t>
      </w:r>
      <w:r>
        <w:rPr>
          <w:rFonts w:hint="eastAsia"/>
        </w:rPr>
        <w:t>年</w:t>
      </w:r>
      <w:r>
        <w:t>11</w:t>
      </w:r>
      <w:r>
        <w:rPr>
          <w:rFonts w:hint="eastAsia"/>
        </w:rPr>
        <w:t>月</w:t>
      </w:r>
      <w:r>
        <w:t>16</w:t>
      </w:r>
      <w:r>
        <w:rPr>
          <w:rFonts w:hint="eastAsia"/>
        </w:rPr>
        <w:t>日中华人民共和国国务院令第</w:t>
      </w:r>
      <w:r>
        <w:t>91</w:t>
      </w:r>
      <w:r>
        <w:rPr>
          <w:rFonts w:hint="eastAsia"/>
        </w:rPr>
        <w:t>号发布，根据</w:t>
      </w:r>
      <w:r>
        <w:t>2020</w:t>
      </w:r>
      <w:r>
        <w:rPr>
          <w:rFonts w:hint="eastAsia"/>
        </w:rPr>
        <w:t>年国务院令第</w:t>
      </w:r>
      <w:r>
        <w:t>732</w:t>
      </w:r>
      <w:r>
        <w:rPr>
          <w:rFonts w:hint="eastAsia"/>
        </w:rPr>
        <w:t>号修改）；</w:t>
      </w:r>
    </w:p>
    <w:p w14:paraId="3520331F">
      <w:pPr>
        <w:pStyle w:val="2"/>
        <w:numPr>
          <w:ilvl w:val="0"/>
          <w:numId w:val="5"/>
        </w:numPr>
        <w:snapToGrid w:val="0"/>
        <w:spacing w:before="0" w:after="0" w:line="360" w:lineRule="auto"/>
        <w:ind w:left="0" w:firstLine="480" w:firstLineChars="200"/>
      </w:pPr>
      <w:r>
        <w:rPr>
          <w:rFonts w:hint="eastAsia"/>
        </w:rPr>
        <w:t>《国有资产评估管理办法施行细则》（原国家国有资产管理局发布的国资办发〔</w:t>
      </w:r>
      <w:r>
        <w:t>1992</w:t>
      </w:r>
      <w:r>
        <w:rPr>
          <w:rFonts w:hint="eastAsia"/>
        </w:rPr>
        <w:t>〕</w:t>
      </w:r>
      <w:r>
        <w:t>36</w:t>
      </w:r>
      <w:r>
        <w:rPr>
          <w:rFonts w:hint="eastAsia"/>
        </w:rPr>
        <w:t>号）；</w:t>
      </w:r>
    </w:p>
    <w:p w14:paraId="2F55EA87">
      <w:pPr>
        <w:pStyle w:val="2"/>
        <w:numPr>
          <w:ilvl w:val="0"/>
          <w:numId w:val="5"/>
        </w:numPr>
        <w:snapToGrid w:val="0"/>
        <w:spacing w:before="0" w:after="0" w:line="360" w:lineRule="auto"/>
        <w:ind w:left="0" w:firstLine="480" w:firstLineChars="200"/>
      </w:pPr>
      <w:r>
        <w:rPr>
          <w:rFonts w:hint="eastAsia"/>
        </w:rPr>
        <w:t>《关于改革国有资产评估行政管理方式加强资产评估监督管理工作意见的通知》（国办发〔</w:t>
      </w:r>
      <w:r>
        <w:t>2001</w:t>
      </w:r>
      <w:r>
        <w:rPr>
          <w:rFonts w:hint="eastAsia"/>
        </w:rPr>
        <w:t>〕</w:t>
      </w:r>
      <w:r>
        <w:t>02</w:t>
      </w:r>
      <w:r>
        <w:rPr>
          <w:rFonts w:hint="eastAsia"/>
        </w:rPr>
        <w:t>号）；</w:t>
      </w:r>
    </w:p>
    <w:p w14:paraId="0E1314B6">
      <w:pPr>
        <w:pStyle w:val="2"/>
        <w:numPr>
          <w:ilvl w:val="0"/>
          <w:numId w:val="5"/>
        </w:numPr>
        <w:snapToGrid w:val="0"/>
        <w:spacing w:before="0" w:after="0" w:line="360" w:lineRule="auto"/>
        <w:ind w:left="0" w:firstLine="480" w:firstLineChars="200"/>
      </w:pPr>
      <w:r>
        <w:rPr>
          <w:rFonts w:hint="eastAsia"/>
        </w:rPr>
        <w:t>《国有资产评估管理若干问题的规定》（财政部第</w:t>
      </w:r>
      <w:r>
        <w:t>14</w:t>
      </w:r>
      <w:r>
        <w:rPr>
          <w:rFonts w:hint="eastAsia"/>
        </w:rPr>
        <w:t>号令）；</w:t>
      </w:r>
    </w:p>
    <w:p w14:paraId="0D0E5187">
      <w:pPr>
        <w:pStyle w:val="2"/>
        <w:numPr>
          <w:ilvl w:val="0"/>
          <w:numId w:val="5"/>
        </w:numPr>
        <w:snapToGrid w:val="0"/>
        <w:spacing w:before="0" w:after="0" w:line="360" w:lineRule="auto"/>
        <w:ind w:left="0" w:firstLine="480" w:firstLineChars="200"/>
      </w:pPr>
      <w:r>
        <w:rPr>
          <w:rFonts w:hint="eastAsia"/>
        </w:rPr>
        <w:t>《财政部关于印发〈国有资产评估项目备案管理办法〉的通知》（财企〔</w:t>
      </w:r>
      <w:r>
        <w:t>20</w:t>
      </w:r>
      <w:r>
        <w:rPr>
          <w:rFonts w:hint="eastAsia"/>
        </w:rPr>
        <w:t>01〕</w:t>
      </w:r>
      <w:r>
        <w:t>802</w:t>
      </w:r>
      <w:r>
        <w:rPr>
          <w:rFonts w:hint="eastAsia"/>
        </w:rPr>
        <w:t>号）；</w:t>
      </w:r>
    </w:p>
    <w:p w14:paraId="795A5F7D">
      <w:pPr>
        <w:pStyle w:val="2"/>
        <w:numPr>
          <w:ilvl w:val="0"/>
          <w:numId w:val="5"/>
        </w:numPr>
        <w:snapToGrid w:val="0"/>
        <w:spacing w:before="0" w:after="0" w:line="360" w:lineRule="auto"/>
        <w:ind w:left="0" w:firstLine="480" w:firstLineChars="200"/>
      </w:pPr>
      <w:r>
        <w:rPr>
          <w:rFonts w:hint="eastAsia"/>
        </w:rPr>
        <w:t>《企业国有资产评估项目备案工作指引》（国资发产权〔</w:t>
      </w:r>
      <w:r>
        <w:t>2013</w:t>
      </w:r>
      <w:r>
        <w:rPr>
          <w:rFonts w:hint="eastAsia"/>
        </w:rPr>
        <w:t>〕</w:t>
      </w:r>
      <w:r>
        <w:t>64</w:t>
      </w:r>
      <w:r>
        <w:rPr>
          <w:rFonts w:hint="eastAsia"/>
        </w:rPr>
        <w:t>号）；</w:t>
      </w:r>
    </w:p>
    <w:p w14:paraId="1B0E2823">
      <w:pPr>
        <w:pStyle w:val="2"/>
        <w:numPr>
          <w:ilvl w:val="0"/>
          <w:numId w:val="5"/>
        </w:numPr>
        <w:snapToGrid w:val="0"/>
        <w:spacing w:before="0" w:after="0" w:line="360" w:lineRule="auto"/>
        <w:ind w:left="0" w:firstLine="480" w:firstLineChars="200"/>
      </w:pPr>
      <w:r>
        <w:rPr>
          <w:rFonts w:hint="eastAsia"/>
        </w:rPr>
        <w:t>《企业国有资产监督管理暂行条例》（国务院</w:t>
      </w:r>
      <w:r>
        <w:t>2003</w:t>
      </w:r>
      <w:r>
        <w:rPr>
          <w:rFonts w:hint="eastAsia"/>
        </w:rPr>
        <w:t>年</w:t>
      </w:r>
      <w:r>
        <w:t>378</w:t>
      </w:r>
      <w:r>
        <w:rPr>
          <w:rFonts w:hint="eastAsia"/>
        </w:rPr>
        <w:t>号令，</w:t>
      </w:r>
      <w:r>
        <w:t>2019</w:t>
      </w:r>
      <w:r>
        <w:rPr>
          <w:rFonts w:hint="eastAsia"/>
        </w:rPr>
        <w:t>年</w:t>
      </w:r>
      <w:r>
        <w:t>3</w:t>
      </w:r>
      <w:r>
        <w:rPr>
          <w:rFonts w:hint="eastAsia"/>
        </w:rPr>
        <w:t>月</w:t>
      </w:r>
      <w:r>
        <w:t>2</w:t>
      </w:r>
      <w:r>
        <w:rPr>
          <w:rFonts w:hint="eastAsia"/>
        </w:rPr>
        <w:t>日修正）；</w:t>
      </w:r>
    </w:p>
    <w:p w14:paraId="09268595">
      <w:pPr>
        <w:pStyle w:val="2"/>
        <w:numPr>
          <w:ilvl w:val="0"/>
          <w:numId w:val="5"/>
        </w:numPr>
        <w:snapToGrid w:val="0"/>
        <w:spacing w:before="0" w:after="0" w:line="360" w:lineRule="auto"/>
        <w:ind w:left="0" w:firstLine="480" w:firstLineChars="200"/>
      </w:pPr>
      <w:bookmarkStart w:id="39" w:name="_Hlk511200092"/>
      <w:r>
        <w:rPr>
          <w:rFonts w:hint="eastAsia"/>
        </w:rPr>
        <w:t>《国务院关于修改和废止部分行政法规的决定》（</w:t>
      </w:r>
      <w:r>
        <w:t>2011</w:t>
      </w:r>
      <w:r>
        <w:rPr>
          <w:rFonts w:hint="eastAsia"/>
        </w:rPr>
        <w:t>年</w:t>
      </w:r>
      <w:r>
        <w:t>1</w:t>
      </w:r>
      <w:r>
        <w:rPr>
          <w:rFonts w:hint="eastAsia"/>
        </w:rPr>
        <w:t>月</w:t>
      </w:r>
      <w:r>
        <w:t>8</w:t>
      </w:r>
      <w:r>
        <w:rPr>
          <w:rFonts w:hint="eastAsia"/>
        </w:rPr>
        <w:t>日，国务院令第</w:t>
      </w:r>
      <w:r>
        <w:t>588</w:t>
      </w:r>
      <w:r>
        <w:rPr>
          <w:rFonts w:hint="eastAsia"/>
        </w:rPr>
        <w:t>号发布，</w:t>
      </w:r>
      <w:r>
        <w:t>2024</w:t>
      </w:r>
      <w:r>
        <w:rPr>
          <w:rFonts w:hint="eastAsia"/>
        </w:rPr>
        <w:t>年</w:t>
      </w:r>
      <w:r>
        <w:t>5</w:t>
      </w:r>
      <w:r>
        <w:rPr>
          <w:rFonts w:hint="eastAsia"/>
        </w:rPr>
        <w:t>月</w:t>
      </w:r>
      <w:r>
        <w:t>1</w:t>
      </w:r>
      <w:r>
        <w:rPr>
          <w:rFonts w:hint="eastAsia"/>
        </w:rPr>
        <w:t>日，国务院令第</w:t>
      </w:r>
      <w:r>
        <w:t>777</w:t>
      </w:r>
      <w:r>
        <w:rPr>
          <w:rFonts w:hint="eastAsia"/>
        </w:rPr>
        <w:t>号）</w:t>
      </w:r>
      <w:bookmarkEnd w:id="39"/>
      <w:r>
        <w:rPr>
          <w:rFonts w:hint="eastAsia"/>
        </w:rPr>
        <w:t>；</w:t>
      </w:r>
    </w:p>
    <w:p w14:paraId="25DF67D1">
      <w:pPr>
        <w:pStyle w:val="2"/>
        <w:numPr>
          <w:ilvl w:val="0"/>
          <w:numId w:val="5"/>
        </w:numPr>
        <w:snapToGrid w:val="0"/>
        <w:spacing w:before="0" w:after="0" w:line="360" w:lineRule="auto"/>
        <w:ind w:left="0" w:firstLine="480" w:firstLineChars="200"/>
      </w:pPr>
      <w:r>
        <w:rPr>
          <w:rFonts w:hint="eastAsia"/>
        </w:rPr>
        <w:t>《企业国有资产交易监督管理办法》（国资委、财政部</w:t>
      </w:r>
      <w:r>
        <w:t>32</w:t>
      </w:r>
      <w:r>
        <w:rPr>
          <w:rFonts w:hint="eastAsia"/>
        </w:rPr>
        <w:t>号令）；</w:t>
      </w:r>
    </w:p>
    <w:p w14:paraId="069E89BB">
      <w:pPr>
        <w:pStyle w:val="2"/>
        <w:numPr>
          <w:ilvl w:val="0"/>
          <w:numId w:val="5"/>
        </w:numPr>
        <w:snapToGrid w:val="0"/>
        <w:spacing w:before="0" w:after="0" w:line="360" w:lineRule="auto"/>
        <w:ind w:left="0" w:firstLine="480" w:firstLineChars="200"/>
      </w:pPr>
      <w:r>
        <w:rPr>
          <w:rFonts w:hint="eastAsia"/>
        </w:rPr>
        <w:t>《企业国有资产评估管理暂行办法》（</w:t>
      </w:r>
      <w:r>
        <w:t>2005</w:t>
      </w:r>
      <w:r>
        <w:rPr>
          <w:rFonts w:hint="eastAsia"/>
        </w:rPr>
        <w:t>年国务院国资委第</w:t>
      </w:r>
      <w:r>
        <w:t>12</w:t>
      </w:r>
      <w:r>
        <w:rPr>
          <w:rFonts w:hint="eastAsia"/>
        </w:rPr>
        <w:t>号令）；</w:t>
      </w:r>
    </w:p>
    <w:p w14:paraId="0B168562">
      <w:pPr>
        <w:pStyle w:val="2"/>
        <w:numPr>
          <w:ilvl w:val="0"/>
          <w:numId w:val="5"/>
        </w:numPr>
        <w:snapToGrid w:val="0"/>
        <w:spacing w:before="0" w:after="0" w:line="360" w:lineRule="auto"/>
        <w:ind w:left="0" w:firstLine="480" w:firstLineChars="200"/>
      </w:pPr>
      <w:r>
        <w:rPr>
          <w:rFonts w:hint="eastAsia"/>
        </w:rPr>
        <w:t>《关于加强企业国有资产评估管理工作有关问题的通知》（国资委产权〔</w:t>
      </w:r>
      <w:r>
        <w:t>2006</w:t>
      </w:r>
      <w:r>
        <w:rPr>
          <w:rFonts w:hint="eastAsia"/>
        </w:rPr>
        <w:t>〕</w:t>
      </w:r>
      <w:r>
        <w:t>274</w:t>
      </w:r>
      <w:r>
        <w:rPr>
          <w:rFonts w:hint="eastAsia"/>
        </w:rPr>
        <w:t>号）；</w:t>
      </w:r>
    </w:p>
    <w:p w14:paraId="7A07A7C9">
      <w:pPr>
        <w:pStyle w:val="2"/>
        <w:numPr>
          <w:ilvl w:val="0"/>
          <w:numId w:val="5"/>
        </w:numPr>
        <w:snapToGrid w:val="0"/>
        <w:spacing w:before="0" w:after="0" w:line="360" w:lineRule="auto"/>
        <w:ind w:left="0" w:firstLine="480" w:firstLineChars="200"/>
      </w:pPr>
      <w:r>
        <w:rPr>
          <w:rFonts w:hint="eastAsia"/>
        </w:rPr>
        <w:t>《关于企业国有资产评估报告审核工作有关事项的通知》（国资产权〔</w:t>
      </w:r>
      <w:r>
        <w:t>2009</w:t>
      </w:r>
      <w:r>
        <w:rPr>
          <w:rFonts w:hint="eastAsia"/>
        </w:rPr>
        <w:t>〕</w:t>
      </w:r>
      <w:r>
        <w:t>941</w:t>
      </w:r>
      <w:r>
        <w:rPr>
          <w:rFonts w:hint="eastAsia"/>
        </w:rPr>
        <w:t>号）；</w:t>
      </w:r>
    </w:p>
    <w:p w14:paraId="12BCCA26">
      <w:pPr>
        <w:pStyle w:val="2"/>
        <w:numPr>
          <w:ilvl w:val="0"/>
          <w:numId w:val="5"/>
        </w:numPr>
        <w:snapToGrid w:val="0"/>
        <w:spacing w:before="0" w:after="0" w:line="360" w:lineRule="auto"/>
        <w:ind w:left="0" w:firstLine="480" w:firstLineChars="200"/>
      </w:pPr>
      <w:r>
        <w:rPr>
          <w:rFonts w:hint="eastAsia"/>
        </w:rPr>
        <w:t>《关于促进企业国有产权流转有关事项的通知》（国资发产权〔</w:t>
      </w:r>
      <w:r>
        <w:t>2014</w:t>
      </w:r>
      <w:r>
        <w:rPr>
          <w:rFonts w:hint="eastAsia"/>
        </w:rPr>
        <w:t>〕</w:t>
      </w:r>
      <w:r>
        <w:t>95</w:t>
      </w:r>
      <w:r>
        <w:rPr>
          <w:rFonts w:hint="eastAsia"/>
        </w:rPr>
        <w:t>号）；</w:t>
      </w:r>
    </w:p>
    <w:p w14:paraId="6FA3DEA8">
      <w:pPr>
        <w:pStyle w:val="2"/>
        <w:numPr>
          <w:ilvl w:val="0"/>
          <w:numId w:val="5"/>
        </w:numPr>
        <w:snapToGrid w:val="0"/>
        <w:spacing w:before="0" w:after="0" w:line="360" w:lineRule="auto"/>
        <w:ind w:left="0" w:firstLine="480" w:firstLineChars="200"/>
      </w:pPr>
      <w:r>
        <w:rPr>
          <w:rFonts w:hint="eastAsia"/>
        </w:rPr>
        <w:t>《财政部</w:t>
      </w:r>
      <w:r>
        <w:t xml:space="preserve"> </w:t>
      </w:r>
      <w:r>
        <w:rPr>
          <w:rFonts w:hint="eastAsia"/>
        </w:rPr>
        <w:t>税务总局关于调整增值税税率的通知》（财税〔</w:t>
      </w:r>
      <w:r>
        <w:t>2018</w:t>
      </w:r>
      <w:r>
        <w:rPr>
          <w:rFonts w:hint="eastAsia"/>
        </w:rPr>
        <w:t>〕</w:t>
      </w:r>
      <w:r>
        <w:t>32</w:t>
      </w:r>
      <w:r>
        <w:rPr>
          <w:rFonts w:hint="eastAsia"/>
        </w:rPr>
        <w:t>号）；</w:t>
      </w:r>
    </w:p>
    <w:p w14:paraId="7CA1BE7A">
      <w:pPr>
        <w:pStyle w:val="2"/>
        <w:numPr>
          <w:ilvl w:val="0"/>
          <w:numId w:val="5"/>
        </w:numPr>
        <w:snapToGrid w:val="0"/>
        <w:spacing w:before="0" w:after="0" w:line="360" w:lineRule="auto"/>
        <w:ind w:left="0" w:firstLine="480" w:firstLineChars="200"/>
      </w:pPr>
      <w:r>
        <w:rPr>
          <w:rFonts w:hint="eastAsia"/>
        </w:rPr>
        <w:t>《关于深化增值税改革有关政策的公告》（</w:t>
      </w:r>
      <w:r>
        <w:t>2019</w:t>
      </w:r>
      <w:r>
        <w:rPr>
          <w:rFonts w:hint="eastAsia"/>
        </w:rPr>
        <w:t>年</w:t>
      </w:r>
      <w:r>
        <w:t>3</w:t>
      </w:r>
      <w:r>
        <w:rPr>
          <w:rFonts w:hint="eastAsia"/>
        </w:rPr>
        <w:t>月</w:t>
      </w:r>
      <w:r>
        <w:t>21</w:t>
      </w:r>
      <w:r>
        <w:rPr>
          <w:rFonts w:hint="eastAsia"/>
        </w:rPr>
        <w:t>日财政部</w:t>
      </w:r>
      <w:r>
        <w:t xml:space="preserve"> </w:t>
      </w:r>
      <w:r>
        <w:rPr>
          <w:rFonts w:hint="eastAsia"/>
        </w:rPr>
        <w:t>国家税务总局</w:t>
      </w:r>
      <w:r>
        <w:t xml:space="preserve"> </w:t>
      </w:r>
      <w:r>
        <w:rPr>
          <w:rFonts w:hint="eastAsia"/>
        </w:rPr>
        <w:t>海关总署联合发布</w:t>
      </w:r>
      <w:r>
        <w:t>2019</w:t>
      </w:r>
      <w:r>
        <w:rPr>
          <w:rFonts w:hint="eastAsia"/>
        </w:rPr>
        <w:t>年第</w:t>
      </w:r>
      <w:r>
        <w:t>39</w:t>
      </w:r>
      <w:r>
        <w:rPr>
          <w:rFonts w:hint="eastAsia"/>
        </w:rPr>
        <w:t>号）；</w:t>
      </w:r>
    </w:p>
    <w:p w14:paraId="64153A71">
      <w:pPr>
        <w:pStyle w:val="2"/>
        <w:numPr>
          <w:ilvl w:val="0"/>
          <w:numId w:val="5"/>
        </w:numPr>
        <w:snapToGrid w:val="0"/>
        <w:spacing w:before="0" w:after="0" w:line="360" w:lineRule="auto"/>
        <w:ind w:left="0" w:firstLine="480" w:firstLineChars="200"/>
      </w:pPr>
      <w:r>
        <w:rPr>
          <w:rFonts w:hint="eastAsia"/>
        </w:rPr>
        <w:t>《中华人民共和国增值税暂行条例》（</w:t>
      </w:r>
      <w:r>
        <w:t>2017</w:t>
      </w:r>
      <w:r>
        <w:rPr>
          <w:rFonts w:hint="eastAsia"/>
        </w:rPr>
        <w:t>年</w:t>
      </w:r>
      <w:r>
        <w:t>10</w:t>
      </w:r>
      <w:r>
        <w:rPr>
          <w:rFonts w:hint="eastAsia"/>
        </w:rPr>
        <w:t>月</w:t>
      </w:r>
      <w:r>
        <w:t>30</w:t>
      </w:r>
      <w:r>
        <w:rPr>
          <w:rFonts w:hint="eastAsia"/>
        </w:rPr>
        <w:t>日，中华人民共和国国务院令第</w:t>
      </w:r>
      <w:r>
        <w:t>691</w:t>
      </w:r>
      <w:r>
        <w:rPr>
          <w:rFonts w:hint="eastAsia"/>
        </w:rPr>
        <w:t>号公布，国务院第</w:t>
      </w:r>
      <w:r>
        <w:t>191</w:t>
      </w:r>
      <w:r>
        <w:rPr>
          <w:rFonts w:hint="eastAsia"/>
        </w:rPr>
        <w:t>次常务会议通过修改）；</w:t>
      </w:r>
    </w:p>
    <w:p w14:paraId="1D6FDF17">
      <w:pPr>
        <w:pStyle w:val="2"/>
        <w:numPr>
          <w:ilvl w:val="0"/>
          <w:numId w:val="5"/>
        </w:numPr>
        <w:snapToGrid w:val="0"/>
        <w:spacing w:before="0" w:after="0" w:line="360" w:lineRule="auto"/>
        <w:ind w:left="0" w:firstLine="480" w:firstLineChars="200"/>
      </w:pPr>
      <w:r>
        <w:rPr>
          <w:rFonts w:hint="eastAsia"/>
        </w:rPr>
        <w:t>《中华人民共和国增值税暂行条例实施细则》</w:t>
      </w:r>
      <w:r>
        <w:rPr>
          <w:rFonts w:hint="eastAsia"/>
          <w:color w:val="000000"/>
        </w:rPr>
        <w:t>（财政部、国家税务总局令第</w:t>
      </w:r>
      <w:r>
        <w:rPr>
          <w:color w:val="000000"/>
        </w:rPr>
        <w:t>50</w:t>
      </w:r>
      <w:r>
        <w:rPr>
          <w:rFonts w:hint="eastAsia"/>
          <w:color w:val="000000"/>
        </w:rPr>
        <w:t>号，</w:t>
      </w:r>
      <w:r>
        <w:rPr>
          <w:color w:val="000000"/>
        </w:rPr>
        <w:t>2011</w:t>
      </w:r>
      <w:r>
        <w:rPr>
          <w:rFonts w:hint="eastAsia"/>
          <w:color w:val="000000"/>
        </w:rPr>
        <w:t>年</w:t>
      </w:r>
      <w:r>
        <w:rPr>
          <w:color w:val="000000"/>
        </w:rPr>
        <w:t>11</w:t>
      </w:r>
      <w:r>
        <w:rPr>
          <w:rFonts w:hint="eastAsia"/>
          <w:color w:val="000000"/>
        </w:rPr>
        <w:t>月</w:t>
      </w:r>
      <w:r>
        <w:rPr>
          <w:color w:val="000000"/>
        </w:rPr>
        <w:t>1</w:t>
      </w:r>
      <w:r>
        <w:rPr>
          <w:rFonts w:hint="eastAsia"/>
          <w:color w:val="000000"/>
        </w:rPr>
        <w:t>日中华人民共和国财政部令第</w:t>
      </w:r>
      <w:r>
        <w:rPr>
          <w:color w:val="000000"/>
        </w:rPr>
        <w:t>65</w:t>
      </w:r>
      <w:r>
        <w:rPr>
          <w:rFonts w:hint="eastAsia"/>
          <w:color w:val="000000"/>
        </w:rPr>
        <w:t>号修改）</w:t>
      </w:r>
      <w:r>
        <w:rPr>
          <w:rFonts w:hint="eastAsia"/>
        </w:rPr>
        <w:t>；</w:t>
      </w:r>
    </w:p>
    <w:p w14:paraId="67CE2741">
      <w:pPr>
        <w:numPr>
          <w:ilvl w:val="0"/>
          <w:numId w:val="5"/>
        </w:numPr>
        <w:tabs>
          <w:tab w:val="left" w:pos="426"/>
          <w:tab w:val="left" w:pos="525"/>
        </w:tabs>
        <w:adjustRightInd w:val="0"/>
        <w:snapToGrid w:val="0"/>
        <w:spacing w:line="360" w:lineRule="auto"/>
        <w:ind w:left="0" w:firstLine="480" w:firstLineChars="200"/>
        <w:rPr>
          <w:kern w:val="0"/>
        </w:rPr>
      </w:pPr>
      <w:r>
        <w:rPr>
          <w:rFonts w:hint="eastAsia"/>
          <w:kern w:val="0"/>
        </w:rPr>
        <w:t>《关于优化中央企业资产评估管理有关事项的通知》（国资发产权规〔</w:t>
      </w:r>
      <w:r>
        <w:rPr>
          <w:kern w:val="0"/>
        </w:rPr>
        <w:t>2024</w:t>
      </w:r>
      <w:r>
        <w:rPr>
          <w:rFonts w:hint="eastAsia"/>
          <w:kern w:val="0"/>
        </w:rPr>
        <w:t>〕</w:t>
      </w:r>
      <w:r>
        <w:rPr>
          <w:kern w:val="0"/>
        </w:rPr>
        <w:t>8</w:t>
      </w:r>
      <w:r>
        <w:rPr>
          <w:rFonts w:hint="eastAsia"/>
          <w:kern w:val="0"/>
        </w:rPr>
        <w:t>号）。</w:t>
      </w:r>
    </w:p>
    <w:p w14:paraId="6AC4E7C4">
      <w:pPr>
        <w:numPr>
          <w:ilvl w:val="0"/>
          <w:numId w:val="5"/>
        </w:numPr>
        <w:tabs>
          <w:tab w:val="left" w:pos="426"/>
          <w:tab w:val="left" w:pos="525"/>
        </w:tabs>
        <w:adjustRightInd w:val="0"/>
        <w:snapToGrid w:val="0"/>
        <w:spacing w:line="360" w:lineRule="auto"/>
        <w:ind w:left="0" w:firstLine="480" w:firstLineChars="200"/>
        <w:rPr>
          <w:kern w:val="0"/>
        </w:rPr>
      </w:pPr>
      <w:r>
        <w:rPr>
          <w:rFonts w:hint="eastAsia"/>
          <w:kern w:val="0"/>
        </w:rPr>
        <w:t>其他相关的法律法规文件。</w:t>
      </w:r>
    </w:p>
    <w:p w14:paraId="1EFC2D69">
      <w:pPr>
        <w:pStyle w:val="2"/>
        <w:widowControl/>
        <w:numPr>
          <w:ilvl w:val="0"/>
          <w:numId w:val="4"/>
        </w:numPr>
        <w:adjustRightInd/>
        <w:snapToGrid w:val="0"/>
        <w:spacing w:before="0" w:after="0" w:line="360" w:lineRule="auto"/>
        <w:textAlignment w:val="auto"/>
        <w:rPr>
          <w:b/>
          <w:bCs/>
        </w:rPr>
      </w:pPr>
      <w:bookmarkStart w:id="40" w:name="_Toc110605198"/>
      <w:bookmarkStart w:id="41" w:name="_Toc112056409"/>
      <w:bookmarkStart w:id="42" w:name="_Toc213846102"/>
      <w:r>
        <w:rPr>
          <w:rFonts w:hint="eastAsia"/>
          <w:b/>
          <w:bCs/>
        </w:rPr>
        <w:t>评估准则依据</w:t>
      </w:r>
      <w:bookmarkEnd w:id="40"/>
      <w:bookmarkEnd w:id="41"/>
      <w:bookmarkEnd w:id="42"/>
    </w:p>
    <w:p w14:paraId="4B66DB80">
      <w:pPr>
        <w:pStyle w:val="2"/>
        <w:numPr>
          <w:ilvl w:val="0"/>
          <w:numId w:val="6"/>
        </w:numPr>
        <w:snapToGrid w:val="0"/>
        <w:spacing w:before="0" w:after="0" w:line="360" w:lineRule="auto"/>
        <w:ind w:left="0" w:firstLine="480" w:firstLineChars="200"/>
      </w:pPr>
      <w:r>
        <w:rPr>
          <w:rFonts w:hint="eastAsia"/>
        </w:rPr>
        <w:t>《资产评估基本准则》（财资〔</w:t>
      </w:r>
      <w:r>
        <w:t>2017</w:t>
      </w:r>
      <w:r>
        <w:rPr>
          <w:rFonts w:hint="eastAsia"/>
        </w:rPr>
        <w:t>〕</w:t>
      </w:r>
      <w:r>
        <w:t>43</w:t>
      </w:r>
      <w:r>
        <w:rPr>
          <w:rFonts w:hint="eastAsia"/>
        </w:rPr>
        <w:t>号）；</w:t>
      </w:r>
    </w:p>
    <w:p w14:paraId="43FFACD8">
      <w:pPr>
        <w:pStyle w:val="2"/>
        <w:numPr>
          <w:ilvl w:val="0"/>
          <w:numId w:val="6"/>
        </w:numPr>
        <w:snapToGrid w:val="0"/>
        <w:spacing w:before="0" w:after="0" w:line="360" w:lineRule="auto"/>
        <w:ind w:left="0" w:firstLine="480" w:firstLineChars="200"/>
      </w:pPr>
      <w:r>
        <w:rPr>
          <w:rFonts w:hint="eastAsia"/>
        </w:rPr>
        <w:t>《资产评估职业道德准则》（中评协〔</w:t>
      </w:r>
      <w:r>
        <w:t>2017</w:t>
      </w:r>
      <w:r>
        <w:rPr>
          <w:rFonts w:hint="eastAsia"/>
        </w:rPr>
        <w:t>〕</w:t>
      </w:r>
      <w:r>
        <w:t>30</w:t>
      </w:r>
      <w:r>
        <w:rPr>
          <w:rFonts w:hint="eastAsia"/>
        </w:rPr>
        <w:t>号）；</w:t>
      </w:r>
    </w:p>
    <w:p w14:paraId="4296B129">
      <w:pPr>
        <w:pStyle w:val="2"/>
        <w:numPr>
          <w:ilvl w:val="0"/>
          <w:numId w:val="6"/>
        </w:numPr>
        <w:snapToGrid w:val="0"/>
        <w:spacing w:before="0" w:after="0" w:line="360" w:lineRule="auto"/>
        <w:ind w:left="0" w:firstLine="480" w:firstLineChars="200"/>
      </w:pPr>
      <w:r>
        <w:rPr>
          <w:rFonts w:hint="eastAsia"/>
        </w:rPr>
        <w:t>《资产评估执业准则</w:t>
      </w:r>
      <w:r>
        <w:t>——</w:t>
      </w:r>
      <w:r>
        <w:rPr>
          <w:rFonts w:hint="eastAsia"/>
        </w:rPr>
        <w:t>资产评估方法》（中评协〔</w:t>
      </w:r>
      <w:r>
        <w:t>2019</w:t>
      </w:r>
      <w:r>
        <w:rPr>
          <w:rFonts w:hint="eastAsia"/>
        </w:rPr>
        <w:t>〕</w:t>
      </w:r>
      <w:r>
        <w:t>35</w:t>
      </w:r>
      <w:r>
        <w:rPr>
          <w:rFonts w:hint="eastAsia"/>
        </w:rPr>
        <w:t>号）；</w:t>
      </w:r>
    </w:p>
    <w:p w14:paraId="2A1751CE">
      <w:pPr>
        <w:pStyle w:val="2"/>
        <w:numPr>
          <w:ilvl w:val="0"/>
          <w:numId w:val="6"/>
        </w:numPr>
        <w:snapToGrid w:val="0"/>
        <w:spacing w:before="0" w:after="0" w:line="360" w:lineRule="auto"/>
        <w:ind w:left="0" w:firstLine="480" w:firstLineChars="200"/>
      </w:pPr>
      <w:r>
        <w:rPr>
          <w:rFonts w:hint="eastAsia"/>
        </w:rPr>
        <w:t>《资产评估执业准则</w:t>
      </w:r>
      <w:r>
        <w:t>——</w:t>
      </w:r>
      <w:r>
        <w:rPr>
          <w:rFonts w:hint="eastAsia"/>
        </w:rPr>
        <w:t>资产评估程序》（中评协〔</w:t>
      </w:r>
      <w:r>
        <w:t>2018</w:t>
      </w:r>
      <w:r>
        <w:rPr>
          <w:rFonts w:hint="eastAsia"/>
        </w:rPr>
        <w:t>〕</w:t>
      </w:r>
      <w:r>
        <w:t>36</w:t>
      </w:r>
      <w:r>
        <w:rPr>
          <w:rFonts w:hint="eastAsia"/>
        </w:rPr>
        <w:t>号）；</w:t>
      </w:r>
    </w:p>
    <w:p w14:paraId="5BAA127E">
      <w:pPr>
        <w:pStyle w:val="2"/>
        <w:numPr>
          <w:ilvl w:val="0"/>
          <w:numId w:val="6"/>
        </w:numPr>
        <w:snapToGrid w:val="0"/>
        <w:spacing w:before="0" w:after="0" w:line="360" w:lineRule="auto"/>
        <w:ind w:left="0" w:firstLine="480" w:firstLineChars="200"/>
      </w:pPr>
      <w:r>
        <w:rPr>
          <w:rFonts w:hint="eastAsia"/>
        </w:rPr>
        <w:t>《资产评估执业准则</w:t>
      </w:r>
      <w:r>
        <w:t>——</w:t>
      </w:r>
      <w:r>
        <w:rPr>
          <w:rFonts w:hint="eastAsia"/>
        </w:rPr>
        <w:t>资产评估报告》（中评协〔</w:t>
      </w:r>
      <w:r>
        <w:t>2018</w:t>
      </w:r>
      <w:r>
        <w:rPr>
          <w:rFonts w:hint="eastAsia"/>
        </w:rPr>
        <w:t>〕</w:t>
      </w:r>
      <w:r>
        <w:t>35</w:t>
      </w:r>
      <w:r>
        <w:rPr>
          <w:rFonts w:hint="eastAsia"/>
        </w:rPr>
        <w:t>号）；</w:t>
      </w:r>
    </w:p>
    <w:p w14:paraId="269450A1">
      <w:pPr>
        <w:pStyle w:val="2"/>
        <w:numPr>
          <w:ilvl w:val="0"/>
          <w:numId w:val="6"/>
        </w:numPr>
        <w:snapToGrid w:val="0"/>
        <w:spacing w:before="0" w:after="0" w:line="360" w:lineRule="auto"/>
        <w:ind w:left="0" w:firstLine="480" w:firstLineChars="200"/>
      </w:pPr>
      <w:r>
        <w:rPr>
          <w:rFonts w:hint="eastAsia"/>
        </w:rPr>
        <w:t>《资产评估执业准则</w:t>
      </w:r>
      <w:r>
        <w:t>——</w:t>
      </w:r>
      <w:r>
        <w:rPr>
          <w:rFonts w:hint="eastAsia"/>
        </w:rPr>
        <w:t>资产评估委托合同》（中评协〔</w:t>
      </w:r>
      <w:r>
        <w:t>2017</w:t>
      </w:r>
      <w:r>
        <w:rPr>
          <w:rFonts w:hint="eastAsia"/>
        </w:rPr>
        <w:t>〕</w:t>
      </w:r>
      <w:r>
        <w:t>33</w:t>
      </w:r>
      <w:r>
        <w:rPr>
          <w:rFonts w:hint="eastAsia"/>
        </w:rPr>
        <w:t>号）；</w:t>
      </w:r>
    </w:p>
    <w:p w14:paraId="22E5F6B3">
      <w:pPr>
        <w:pStyle w:val="2"/>
        <w:numPr>
          <w:ilvl w:val="0"/>
          <w:numId w:val="6"/>
        </w:numPr>
        <w:snapToGrid w:val="0"/>
        <w:spacing w:before="0" w:after="0" w:line="360" w:lineRule="auto"/>
        <w:ind w:left="0" w:firstLine="480" w:firstLineChars="200"/>
      </w:pPr>
      <w:r>
        <w:rPr>
          <w:rFonts w:hint="eastAsia"/>
        </w:rPr>
        <w:t>《资产评估执业准则</w:t>
      </w:r>
      <w:r>
        <w:t>——</w:t>
      </w:r>
      <w:r>
        <w:rPr>
          <w:rFonts w:hint="eastAsia"/>
        </w:rPr>
        <w:t>资产评估档案》（中评协〔</w:t>
      </w:r>
      <w:r>
        <w:t>2018</w:t>
      </w:r>
      <w:r>
        <w:rPr>
          <w:rFonts w:hint="eastAsia"/>
        </w:rPr>
        <w:t>〕</w:t>
      </w:r>
      <w:r>
        <w:t>37</w:t>
      </w:r>
      <w:r>
        <w:rPr>
          <w:rFonts w:hint="eastAsia"/>
        </w:rPr>
        <w:t>号）；</w:t>
      </w:r>
    </w:p>
    <w:p w14:paraId="6B35EC12">
      <w:pPr>
        <w:pStyle w:val="2"/>
        <w:numPr>
          <w:ilvl w:val="0"/>
          <w:numId w:val="6"/>
        </w:numPr>
        <w:snapToGrid w:val="0"/>
        <w:spacing w:before="0" w:after="0" w:line="360" w:lineRule="auto"/>
        <w:ind w:left="0" w:firstLine="480" w:firstLineChars="200"/>
      </w:pPr>
      <w:r>
        <w:rPr>
          <w:rFonts w:hint="eastAsia"/>
        </w:rPr>
        <w:t>《资产评估执业准则</w:t>
      </w:r>
      <w:r>
        <w:t>——</w:t>
      </w:r>
      <w:r>
        <w:rPr>
          <w:rFonts w:hint="eastAsia"/>
        </w:rPr>
        <w:t>机器设备》（中评协〔</w:t>
      </w:r>
      <w:r>
        <w:t>2017</w:t>
      </w:r>
      <w:r>
        <w:rPr>
          <w:rFonts w:hint="eastAsia"/>
        </w:rPr>
        <w:t>〕</w:t>
      </w:r>
      <w:r>
        <w:t>39</w:t>
      </w:r>
      <w:r>
        <w:rPr>
          <w:rFonts w:hint="eastAsia"/>
        </w:rPr>
        <w:t>号）；</w:t>
      </w:r>
    </w:p>
    <w:p w14:paraId="0EAE4D7A">
      <w:pPr>
        <w:pStyle w:val="2"/>
        <w:numPr>
          <w:ilvl w:val="0"/>
          <w:numId w:val="6"/>
        </w:numPr>
        <w:snapToGrid w:val="0"/>
        <w:spacing w:before="0" w:after="0" w:line="360" w:lineRule="auto"/>
        <w:ind w:left="0" w:firstLine="480" w:firstLineChars="200"/>
      </w:pPr>
      <w:r>
        <w:rPr>
          <w:rFonts w:hint="eastAsia"/>
        </w:rPr>
        <w:t>《企业国有资产评估报告指南》（中评协〔</w:t>
      </w:r>
      <w:r>
        <w:t>2017</w:t>
      </w:r>
      <w:r>
        <w:rPr>
          <w:rFonts w:hint="eastAsia"/>
        </w:rPr>
        <w:t>〕</w:t>
      </w:r>
      <w:r>
        <w:t>42</w:t>
      </w:r>
      <w:r>
        <w:rPr>
          <w:rFonts w:hint="eastAsia"/>
        </w:rPr>
        <w:t>号）；</w:t>
      </w:r>
    </w:p>
    <w:p w14:paraId="4FDEFA31">
      <w:pPr>
        <w:pStyle w:val="2"/>
        <w:numPr>
          <w:ilvl w:val="0"/>
          <w:numId w:val="6"/>
        </w:numPr>
        <w:snapToGrid w:val="0"/>
        <w:spacing w:before="0" w:after="0" w:line="360" w:lineRule="auto"/>
        <w:ind w:left="0" w:firstLine="480" w:firstLineChars="200"/>
      </w:pPr>
      <w:r>
        <w:rPr>
          <w:rFonts w:hint="eastAsia"/>
        </w:rPr>
        <w:t>《资产评估机构业务质量控制指南》（中评协〔</w:t>
      </w:r>
      <w:r>
        <w:t>2017</w:t>
      </w:r>
      <w:r>
        <w:rPr>
          <w:rFonts w:hint="eastAsia"/>
        </w:rPr>
        <w:t>〕</w:t>
      </w:r>
      <w:r>
        <w:t>46</w:t>
      </w:r>
      <w:r>
        <w:rPr>
          <w:rFonts w:hint="eastAsia"/>
        </w:rPr>
        <w:t>号）；</w:t>
      </w:r>
    </w:p>
    <w:p w14:paraId="3830FE78">
      <w:pPr>
        <w:pStyle w:val="2"/>
        <w:numPr>
          <w:ilvl w:val="0"/>
          <w:numId w:val="6"/>
        </w:numPr>
        <w:snapToGrid w:val="0"/>
        <w:spacing w:before="0" w:after="0" w:line="360" w:lineRule="auto"/>
        <w:ind w:left="0" w:firstLine="480" w:firstLineChars="200"/>
      </w:pPr>
      <w:r>
        <w:rPr>
          <w:rFonts w:hint="eastAsia"/>
        </w:rPr>
        <w:t>《资产评估价值类型指导意见》（中评协〔</w:t>
      </w:r>
      <w:r>
        <w:t>2017</w:t>
      </w:r>
      <w:r>
        <w:rPr>
          <w:rFonts w:hint="eastAsia"/>
        </w:rPr>
        <w:t>〕</w:t>
      </w:r>
      <w:r>
        <w:t>47</w:t>
      </w:r>
      <w:r>
        <w:rPr>
          <w:rFonts w:hint="eastAsia"/>
        </w:rPr>
        <w:t>号）；</w:t>
      </w:r>
    </w:p>
    <w:p w14:paraId="4A9F252C">
      <w:pPr>
        <w:pStyle w:val="2"/>
        <w:numPr>
          <w:ilvl w:val="0"/>
          <w:numId w:val="6"/>
        </w:numPr>
        <w:snapToGrid w:val="0"/>
        <w:spacing w:before="0" w:after="0" w:line="360" w:lineRule="auto"/>
        <w:ind w:left="0" w:firstLine="480" w:firstLineChars="200"/>
      </w:pPr>
      <w:r>
        <w:rPr>
          <w:rFonts w:hint="eastAsia"/>
        </w:rPr>
        <w:t>《资产评估对象法律权属指导意见》（中评协〔</w:t>
      </w:r>
      <w:r>
        <w:t>2017</w:t>
      </w:r>
      <w:r>
        <w:rPr>
          <w:rFonts w:hint="eastAsia"/>
        </w:rPr>
        <w:t>〕</w:t>
      </w:r>
      <w:r>
        <w:t>48</w:t>
      </w:r>
      <w:r>
        <w:rPr>
          <w:rFonts w:hint="eastAsia"/>
        </w:rPr>
        <w:t>号）；</w:t>
      </w:r>
    </w:p>
    <w:p w14:paraId="5661F22F">
      <w:pPr>
        <w:pStyle w:val="62"/>
        <w:numPr>
          <w:ilvl w:val="0"/>
          <w:numId w:val="6"/>
        </w:numPr>
        <w:snapToGrid w:val="0"/>
        <w:spacing w:line="360" w:lineRule="auto"/>
        <w:ind w:left="0" w:firstLine="480"/>
      </w:pPr>
      <w:r>
        <w:rPr>
          <w:rFonts w:hint="eastAsia"/>
        </w:rPr>
        <w:t>其他相关评估准则依据。</w:t>
      </w:r>
    </w:p>
    <w:p w14:paraId="0694CFD1">
      <w:pPr>
        <w:pStyle w:val="2"/>
        <w:widowControl/>
        <w:numPr>
          <w:ilvl w:val="0"/>
          <w:numId w:val="4"/>
        </w:numPr>
        <w:adjustRightInd/>
        <w:snapToGrid w:val="0"/>
        <w:spacing w:before="0" w:after="0" w:line="360" w:lineRule="auto"/>
        <w:textAlignment w:val="auto"/>
        <w:rPr>
          <w:b/>
          <w:bCs/>
        </w:rPr>
      </w:pPr>
      <w:bookmarkStart w:id="43" w:name="_Toc110605199"/>
      <w:bookmarkStart w:id="44" w:name="_Toc112056410"/>
      <w:r>
        <w:rPr>
          <w:rFonts w:hint="eastAsia"/>
          <w:b/>
          <w:bCs/>
        </w:rPr>
        <w:t>资产权属依据</w:t>
      </w:r>
      <w:bookmarkEnd w:id="43"/>
      <w:bookmarkEnd w:id="44"/>
    </w:p>
    <w:p w14:paraId="15F53721">
      <w:pPr>
        <w:pStyle w:val="2"/>
        <w:numPr>
          <w:ilvl w:val="0"/>
          <w:numId w:val="7"/>
        </w:numPr>
        <w:snapToGrid w:val="0"/>
        <w:spacing w:before="0" w:after="0" w:line="360" w:lineRule="auto"/>
        <w:ind w:left="0" w:firstLine="480" w:firstLineChars="200"/>
      </w:pPr>
      <w:bookmarkStart w:id="45" w:name="_Toc495555895"/>
      <w:bookmarkStart w:id="46" w:name="_Toc522509760"/>
      <w:bookmarkStart w:id="47" w:name="_Toc502117271"/>
      <w:bookmarkStart w:id="48" w:name="_Toc403664410"/>
      <w:r>
        <w:rPr>
          <w:rFonts w:hint="eastAsia"/>
        </w:rPr>
        <w:t>企业法人营业执照；</w:t>
      </w:r>
    </w:p>
    <w:p w14:paraId="7B50BB49">
      <w:pPr>
        <w:pStyle w:val="2"/>
        <w:numPr>
          <w:ilvl w:val="0"/>
          <w:numId w:val="7"/>
        </w:numPr>
        <w:snapToGrid w:val="0"/>
        <w:spacing w:before="0" w:after="0" w:line="360" w:lineRule="auto"/>
        <w:ind w:left="0" w:firstLine="480" w:firstLineChars="200"/>
      </w:pPr>
      <w:r>
        <w:rPr>
          <w:rFonts w:hint="eastAsia"/>
        </w:rPr>
        <w:t>主要设备购置合同、发票，以及有关协议、合同等资料；</w:t>
      </w:r>
    </w:p>
    <w:p w14:paraId="632DD89A">
      <w:pPr>
        <w:pStyle w:val="2"/>
        <w:numPr>
          <w:ilvl w:val="0"/>
          <w:numId w:val="7"/>
        </w:numPr>
        <w:snapToGrid w:val="0"/>
        <w:spacing w:before="0" w:after="0" w:line="360" w:lineRule="auto"/>
        <w:ind w:left="0" w:firstLine="480" w:firstLineChars="200"/>
      </w:pPr>
      <w:r>
        <w:rPr>
          <w:rFonts w:hint="eastAsia"/>
        </w:rPr>
        <w:t>其他权属文件。</w:t>
      </w:r>
    </w:p>
    <w:p w14:paraId="70DB7A2A">
      <w:pPr>
        <w:pStyle w:val="2"/>
        <w:widowControl/>
        <w:numPr>
          <w:ilvl w:val="0"/>
          <w:numId w:val="4"/>
        </w:numPr>
        <w:adjustRightInd/>
        <w:snapToGrid w:val="0"/>
        <w:spacing w:before="0" w:after="0" w:line="360" w:lineRule="auto"/>
        <w:textAlignment w:val="auto"/>
        <w:rPr>
          <w:b/>
          <w:bCs/>
        </w:rPr>
      </w:pPr>
      <w:bookmarkStart w:id="49" w:name="_Toc110605200"/>
      <w:bookmarkStart w:id="50" w:name="_Toc112056411"/>
      <w:r>
        <w:rPr>
          <w:rFonts w:hint="eastAsia"/>
          <w:b/>
          <w:bCs/>
        </w:rPr>
        <w:t>评估取价依据</w:t>
      </w:r>
      <w:bookmarkEnd w:id="49"/>
      <w:bookmarkEnd w:id="50"/>
    </w:p>
    <w:p w14:paraId="2EEA7E84">
      <w:pPr>
        <w:pStyle w:val="2"/>
        <w:numPr>
          <w:ilvl w:val="0"/>
          <w:numId w:val="8"/>
        </w:numPr>
        <w:snapToGrid w:val="0"/>
        <w:spacing w:before="0" w:after="0" w:line="360" w:lineRule="auto"/>
        <w:ind w:left="0" w:firstLine="480" w:firstLineChars="200"/>
      </w:pPr>
      <w:r>
        <w:rPr>
          <w:rFonts w:hint="eastAsia"/>
        </w:rPr>
        <w:t>产权持有人提供的《资产评估申报表》；</w:t>
      </w:r>
    </w:p>
    <w:p w14:paraId="75045F19">
      <w:pPr>
        <w:pStyle w:val="2"/>
        <w:numPr>
          <w:ilvl w:val="0"/>
          <w:numId w:val="8"/>
        </w:numPr>
        <w:snapToGrid w:val="0"/>
        <w:spacing w:before="0" w:after="0" w:line="360" w:lineRule="auto"/>
        <w:ind w:left="0" w:firstLine="480" w:firstLineChars="200"/>
      </w:pPr>
      <w:r>
        <w:rPr>
          <w:rFonts w:hint="eastAsia"/>
        </w:rPr>
        <w:t>评估人员现场勘察记录及收集的其他相关估价信息资料；</w:t>
      </w:r>
    </w:p>
    <w:p w14:paraId="43C1376B">
      <w:pPr>
        <w:pStyle w:val="2"/>
        <w:numPr>
          <w:ilvl w:val="0"/>
          <w:numId w:val="8"/>
        </w:numPr>
        <w:snapToGrid w:val="0"/>
        <w:spacing w:before="0" w:after="0" w:line="360" w:lineRule="auto"/>
        <w:ind w:left="0" w:firstLine="480" w:firstLineChars="200"/>
      </w:pPr>
      <w:r>
        <w:rPr>
          <w:rFonts w:hint="eastAsia"/>
        </w:rPr>
        <w:t>产权持有人提供的有关协议、发票等财务资料；</w:t>
      </w:r>
    </w:p>
    <w:p w14:paraId="6677EF17">
      <w:pPr>
        <w:pStyle w:val="2"/>
        <w:numPr>
          <w:ilvl w:val="0"/>
          <w:numId w:val="8"/>
        </w:numPr>
        <w:snapToGrid w:val="0"/>
        <w:spacing w:before="0" w:after="0" w:line="360" w:lineRule="auto"/>
        <w:ind w:left="0" w:firstLine="480" w:firstLineChars="200"/>
      </w:pPr>
      <w:r>
        <w:rPr>
          <w:rFonts w:hint="eastAsia"/>
        </w:rPr>
        <w:t>国家有关部门发布的统计资料和技术标准资料及价格信息资料，以及我公司收集的有关询价资料和取价参数资料等；</w:t>
      </w:r>
    </w:p>
    <w:p w14:paraId="221C42CA">
      <w:pPr>
        <w:pStyle w:val="2"/>
        <w:numPr>
          <w:ilvl w:val="0"/>
          <w:numId w:val="8"/>
        </w:numPr>
        <w:snapToGrid w:val="0"/>
        <w:spacing w:before="0" w:after="0" w:line="360" w:lineRule="auto"/>
        <w:ind w:left="0" w:firstLine="480" w:firstLineChars="200"/>
      </w:pPr>
      <w:r>
        <w:rPr>
          <w:rFonts w:hint="eastAsia"/>
        </w:rPr>
        <w:t>与此次资产评估有关的其他资料。</w:t>
      </w:r>
    </w:p>
    <w:p w14:paraId="313AF568">
      <w:pPr>
        <w:pStyle w:val="2"/>
        <w:widowControl/>
        <w:numPr>
          <w:ilvl w:val="0"/>
          <w:numId w:val="4"/>
        </w:numPr>
        <w:adjustRightInd/>
        <w:snapToGrid w:val="0"/>
        <w:spacing w:before="0" w:after="0" w:line="360" w:lineRule="auto"/>
        <w:textAlignment w:val="auto"/>
        <w:rPr>
          <w:b/>
          <w:bCs/>
        </w:rPr>
      </w:pPr>
      <w:r>
        <w:rPr>
          <w:rFonts w:hint="eastAsia"/>
          <w:b/>
          <w:bCs/>
        </w:rPr>
        <w:t>其他参考依据</w:t>
      </w:r>
    </w:p>
    <w:p w14:paraId="3DE56F32">
      <w:pPr>
        <w:pStyle w:val="2"/>
        <w:numPr>
          <w:ilvl w:val="0"/>
          <w:numId w:val="9"/>
        </w:numPr>
        <w:snapToGrid w:val="0"/>
        <w:spacing w:before="0" w:after="0" w:line="360" w:lineRule="auto"/>
        <w:ind w:left="0" w:firstLine="480" w:firstLineChars="200"/>
      </w:pPr>
      <w:r>
        <w:rPr>
          <w:rFonts w:hint="eastAsia"/>
        </w:rPr>
        <w:t>《资产评估准则术语</w:t>
      </w:r>
      <w:r>
        <w:t>2020</w:t>
      </w:r>
      <w:r>
        <w:rPr>
          <w:rFonts w:hint="eastAsia"/>
        </w:rPr>
        <w:t>》（中评协〔</w:t>
      </w:r>
      <w:r>
        <w:t>2020</w:t>
      </w:r>
      <w:r>
        <w:rPr>
          <w:rFonts w:hint="eastAsia"/>
        </w:rPr>
        <w:t>〕</w:t>
      </w:r>
      <w:r>
        <w:t>31</w:t>
      </w:r>
      <w:r>
        <w:rPr>
          <w:rFonts w:hint="eastAsia"/>
        </w:rPr>
        <w:t>号）；</w:t>
      </w:r>
    </w:p>
    <w:p w14:paraId="25E7B7E5">
      <w:pPr>
        <w:pStyle w:val="2"/>
        <w:numPr>
          <w:ilvl w:val="0"/>
          <w:numId w:val="9"/>
        </w:numPr>
        <w:snapToGrid w:val="0"/>
        <w:spacing w:before="0" w:after="0" w:line="360" w:lineRule="auto"/>
        <w:ind w:left="0" w:firstLine="480" w:firstLineChars="200"/>
      </w:pPr>
      <w:r>
        <w:rPr>
          <w:rFonts w:hint="eastAsia"/>
        </w:rPr>
        <w:t>《资产评估专家指引第</w:t>
      </w:r>
      <w:r>
        <w:t>8</w:t>
      </w:r>
      <w:r>
        <w:rPr>
          <w:rFonts w:hint="eastAsia"/>
        </w:rPr>
        <w:t>号</w:t>
      </w:r>
      <w:r>
        <w:t>——</w:t>
      </w:r>
      <w:r>
        <w:rPr>
          <w:rFonts w:hint="eastAsia"/>
        </w:rPr>
        <w:t>资产评估中的核查验证》（中评协〔</w:t>
      </w:r>
      <w:r>
        <w:t>2019</w:t>
      </w:r>
      <w:r>
        <w:rPr>
          <w:rFonts w:hint="eastAsia"/>
        </w:rPr>
        <w:t>〕</w:t>
      </w:r>
      <w:r>
        <w:t>39</w:t>
      </w:r>
      <w:r>
        <w:rPr>
          <w:rFonts w:hint="eastAsia"/>
        </w:rPr>
        <w:t>号）；</w:t>
      </w:r>
    </w:p>
    <w:p w14:paraId="458680CB">
      <w:pPr>
        <w:pStyle w:val="2"/>
        <w:numPr>
          <w:ilvl w:val="0"/>
          <w:numId w:val="9"/>
        </w:numPr>
        <w:snapToGrid w:val="0"/>
        <w:spacing w:before="0" w:after="0" w:line="360" w:lineRule="auto"/>
        <w:ind w:left="0" w:firstLine="480" w:firstLineChars="200"/>
      </w:pPr>
      <w:r>
        <w:rPr>
          <w:rFonts w:hint="eastAsia"/>
        </w:rPr>
        <w:t>《企业会计准则</w:t>
      </w:r>
      <w:r>
        <w:t>—</w:t>
      </w:r>
      <w:r>
        <w:rPr>
          <w:rFonts w:hint="eastAsia"/>
        </w:rPr>
        <w:t>基本准则》（</w:t>
      </w:r>
      <w:r>
        <w:t>2014</w:t>
      </w:r>
      <w:r>
        <w:rPr>
          <w:rFonts w:hint="eastAsia"/>
        </w:rPr>
        <w:t>年</w:t>
      </w:r>
      <w:r>
        <w:t>7</w:t>
      </w:r>
      <w:r>
        <w:rPr>
          <w:rFonts w:hint="eastAsia"/>
        </w:rPr>
        <w:t>月</w:t>
      </w:r>
      <w:r>
        <w:t>23</w:t>
      </w:r>
      <w:r>
        <w:rPr>
          <w:rFonts w:hint="eastAsia"/>
        </w:rPr>
        <w:t>日，根据中华人民共和国财政部令第</w:t>
      </w:r>
      <w:r>
        <w:t>76</w:t>
      </w:r>
      <w:r>
        <w:rPr>
          <w:rFonts w:hint="eastAsia"/>
        </w:rPr>
        <w:t>号《财政部关于修改〈企业会计准则——基本准则〉的决定》修订）；</w:t>
      </w:r>
    </w:p>
    <w:p w14:paraId="5407B2DA">
      <w:pPr>
        <w:pStyle w:val="2"/>
        <w:numPr>
          <w:ilvl w:val="0"/>
          <w:numId w:val="9"/>
        </w:numPr>
        <w:snapToGrid w:val="0"/>
        <w:spacing w:before="0" w:after="0" w:line="360" w:lineRule="auto"/>
        <w:ind w:left="0" w:firstLine="480" w:firstLineChars="200"/>
      </w:pPr>
      <w:r>
        <w:rPr>
          <w:rFonts w:hint="eastAsia"/>
        </w:rPr>
        <w:t>《中国资产评估协会资产评估业务报备管理办法》（中评协〔</w:t>
      </w:r>
      <w:r>
        <w:t>2021</w:t>
      </w:r>
      <w:r>
        <w:rPr>
          <w:rFonts w:hint="eastAsia"/>
        </w:rPr>
        <w:t>〕</w:t>
      </w:r>
      <w:r>
        <w:t>30</w:t>
      </w:r>
      <w:r>
        <w:rPr>
          <w:rFonts w:hint="eastAsia"/>
        </w:rPr>
        <w:t>号）；</w:t>
      </w:r>
    </w:p>
    <w:p w14:paraId="64A9C901">
      <w:pPr>
        <w:pStyle w:val="2"/>
        <w:numPr>
          <w:ilvl w:val="0"/>
          <w:numId w:val="9"/>
        </w:numPr>
        <w:snapToGrid w:val="0"/>
        <w:spacing w:before="0" w:after="0" w:line="360" w:lineRule="auto"/>
        <w:ind w:left="0" w:firstLine="480" w:firstLineChars="200"/>
        <w:rPr>
          <w:rFonts w:hint="eastAsia"/>
          <w:lang w:eastAsia="zh-CN"/>
        </w:rPr>
      </w:pPr>
      <w:r>
        <w:rPr>
          <w:rFonts w:hint="eastAsia"/>
        </w:rPr>
        <w:t>《企业国有资产交易操作规则》</w:t>
      </w:r>
      <w:r>
        <w:rPr>
          <w:rFonts w:hint="eastAsia"/>
          <w:lang w:eastAsia="zh-CN"/>
        </w:rPr>
        <w:t>（国资发产权规〔2025〕17号）</w:t>
      </w:r>
      <w:r>
        <w:rPr>
          <w:rFonts w:hint="eastAsia"/>
          <w:lang w:val="en-US" w:eastAsia="zh-CN"/>
        </w:rPr>
        <w:t>;</w:t>
      </w:r>
    </w:p>
    <w:p w14:paraId="46653D7F">
      <w:pPr>
        <w:pStyle w:val="2"/>
        <w:numPr>
          <w:ilvl w:val="0"/>
          <w:numId w:val="9"/>
        </w:numPr>
        <w:snapToGrid w:val="0"/>
        <w:spacing w:before="0" w:after="0" w:line="360" w:lineRule="auto"/>
        <w:ind w:left="0" w:firstLine="480" w:firstLineChars="200"/>
      </w:pPr>
      <w:r>
        <w:rPr>
          <w:rFonts w:hint="eastAsia"/>
        </w:rPr>
        <w:t>其他相关评估参考依据。</w:t>
      </w:r>
    </w:p>
    <w:bookmarkEnd w:id="45"/>
    <w:bookmarkEnd w:id="46"/>
    <w:bookmarkEnd w:id="47"/>
    <w:p w14:paraId="34F504FC">
      <w:pPr>
        <w:pStyle w:val="4"/>
        <w:spacing w:before="60" w:after="60" w:line="360" w:lineRule="auto"/>
        <w:ind w:firstLine="562" w:firstLineChars="200"/>
        <w:rPr>
          <w:rFonts w:ascii="Times New Roman" w:hAnsi="Times New Roman" w:eastAsia="宋体"/>
          <w:sz w:val="28"/>
        </w:rPr>
      </w:pPr>
      <w:bookmarkStart w:id="51" w:name="_Toc112232550"/>
      <w:r>
        <w:rPr>
          <w:rFonts w:hint="eastAsia" w:ascii="Times New Roman" w:hAnsi="Times New Roman" w:eastAsia="宋体"/>
          <w:sz w:val="28"/>
        </w:rPr>
        <w:t>七、评估方法</w:t>
      </w:r>
      <w:bookmarkEnd w:id="51"/>
    </w:p>
    <w:p w14:paraId="36CCF4D7">
      <w:pPr>
        <w:pStyle w:val="2"/>
        <w:widowControl/>
        <w:numPr>
          <w:ilvl w:val="0"/>
          <w:numId w:val="10"/>
        </w:numPr>
        <w:adjustRightInd/>
        <w:snapToGrid w:val="0"/>
        <w:spacing w:before="0" w:after="0" w:line="360" w:lineRule="auto"/>
        <w:textAlignment w:val="auto"/>
        <w:rPr>
          <w:b/>
          <w:bCs/>
        </w:rPr>
      </w:pPr>
      <w:bookmarkStart w:id="52" w:name="_Toc110605202"/>
      <w:bookmarkStart w:id="53" w:name="_Toc112056413"/>
      <w:r>
        <w:rPr>
          <w:rFonts w:hint="eastAsia"/>
          <w:b/>
          <w:bCs/>
        </w:rPr>
        <w:t>评估方法简介</w:t>
      </w:r>
      <w:bookmarkEnd w:id="52"/>
      <w:bookmarkEnd w:id="53"/>
    </w:p>
    <w:p w14:paraId="6FD9A5E8">
      <w:pPr>
        <w:adjustRightInd w:val="0"/>
        <w:snapToGrid w:val="0"/>
        <w:spacing w:line="360" w:lineRule="auto"/>
        <w:ind w:firstLine="480" w:firstLineChars="200"/>
        <w:textAlignment w:val="baseline"/>
      </w:pPr>
      <w:r>
        <w:t>成本法是指在现实条件下重新购置或建造一个全新状态的评估对象，所需的全部成本减去评估对象的实体性陈旧贬值、功能性陈旧贬值和经济性陈旧贬值后的差额，以其作为评估对象现实价值的一种评估方法。</w:t>
      </w:r>
    </w:p>
    <w:p w14:paraId="0BBEB244">
      <w:pPr>
        <w:adjustRightInd w:val="0"/>
        <w:snapToGrid w:val="0"/>
        <w:spacing w:line="360" w:lineRule="auto"/>
        <w:ind w:firstLine="480" w:firstLineChars="200"/>
        <w:textAlignment w:val="baseline"/>
      </w:pPr>
      <w:r>
        <w:t>收益法是指通过估测评估对象可以带来的未来预期收益的现值来判断评估对象价值的一种评估方法。它服从资产评估中将利求本的评估思路，即采用收益资本化或折现的途径及其方法来判断和估算评估对象的价值。</w:t>
      </w:r>
    </w:p>
    <w:p w14:paraId="2DC98D48">
      <w:pPr>
        <w:adjustRightInd w:val="0"/>
        <w:snapToGrid w:val="0"/>
        <w:spacing w:line="360" w:lineRule="auto"/>
        <w:ind w:firstLine="480" w:firstLineChars="200"/>
        <w:textAlignment w:val="baseline"/>
      </w:pPr>
      <w:r>
        <w:t>市场法是以近期相同或相类似</w:t>
      </w:r>
      <w:r>
        <w:rPr>
          <w:rFonts w:hint="eastAsia"/>
        </w:rPr>
        <w:t>资产</w:t>
      </w:r>
      <w:r>
        <w:t>的市场成交价或报价为参照，通过对被评估</w:t>
      </w:r>
      <w:r>
        <w:rPr>
          <w:rFonts w:hint="eastAsia"/>
        </w:rPr>
        <w:t>资产</w:t>
      </w:r>
      <w:r>
        <w:t>与参照物的比较因素进行对比分析，调整两者的差异对价格的影响，由此得出被评估</w:t>
      </w:r>
      <w:r>
        <w:rPr>
          <w:rFonts w:hint="eastAsia"/>
        </w:rPr>
        <w:t>资产</w:t>
      </w:r>
      <w:r>
        <w:t>市场价值的一种方法</w:t>
      </w:r>
      <w:r>
        <w:rPr>
          <w:rFonts w:hint="eastAsia"/>
        </w:rPr>
        <w:t>。</w:t>
      </w:r>
    </w:p>
    <w:p w14:paraId="283DCDF0">
      <w:pPr>
        <w:pStyle w:val="2"/>
        <w:widowControl/>
        <w:numPr>
          <w:ilvl w:val="0"/>
          <w:numId w:val="10"/>
        </w:numPr>
        <w:adjustRightInd/>
        <w:snapToGrid w:val="0"/>
        <w:spacing w:before="0" w:after="0" w:line="360" w:lineRule="auto"/>
        <w:textAlignment w:val="auto"/>
        <w:rPr>
          <w:b/>
          <w:bCs/>
        </w:rPr>
      </w:pPr>
      <w:bookmarkStart w:id="54" w:name="_Toc112056414"/>
      <w:bookmarkStart w:id="55" w:name="_Toc110605203"/>
      <w:r>
        <w:rPr>
          <w:rFonts w:hint="eastAsia"/>
          <w:b/>
          <w:bCs/>
        </w:rPr>
        <w:t>评估方法的选择</w:t>
      </w:r>
      <w:bookmarkEnd w:id="54"/>
      <w:bookmarkEnd w:id="55"/>
    </w:p>
    <w:p w14:paraId="66122E4D">
      <w:pPr>
        <w:adjustRightInd w:val="0"/>
        <w:snapToGrid w:val="0"/>
        <w:spacing w:line="360" w:lineRule="auto"/>
        <w:ind w:firstLine="480" w:firstLineChars="200"/>
        <w:textAlignment w:val="baseline"/>
      </w:pPr>
      <w:bookmarkStart w:id="56" w:name="OLE_LINK3"/>
      <w:r>
        <w:rPr>
          <w:rFonts w:hint="eastAsia"/>
        </w:rPr>
        <w:t>由于委估资产已无单独获利能力，不具备采用收益法的前提条件；</w:t>
      </w:r>
      <w:bookmarkStart w:id="57" w:name="_Hlk195190523"/>
      <w:r>
        <w:rPr>
          <w:rFonts w:hint="eastAsia"/>
        </w:rPr>
        <w:t>由于委估资产无</w:t>
      </w:r>
      <w:r>
        <w:t>近期相同或相类似</w:t>
      </w:r>
      <w:r>
        <w:rPr>
          <w:rFonts w:hint="eastAsia"/>
        </w:rPr>
        <w:t>资产</w:t>
      </w:r>
      <w:r>
        <w:t>的市场成交价或报价为参照</w:t>
      </w:r>
      <w:r>
        <w:rPr>
          <w:rFonts w:hint="eastAsia"/>
        </w:rPr>
        <w:t>，不具备采用市场法的前提条件</w:t>
      </w:r>
      <w:bookmarkEnd w:id="57"/>
      <w:r>
        <w:rPr>
          <w:rFonts w:hint="eastAsia"/>
        </w:rPr>
        <w:t>；因此，本次评估采用成本法</w:t>
      </w:r>
      <w:bookmarkEnd w:id="56"/>
      <w:r>
        <w:rPr>
          <w:rFonts w:hint="eastAsia"/>
        </w:rPr>
        <w:t>。</w:t>
      </w:r>
    </w:p>
    <w:p w14:paraId="62873010">
      <w:pPr>
        <w:pStyle w:val="2"/>
        <w:widowControl/>
        <w:numPr>
          <w:ilvl w:val="0"/>
          <w:numId w:val="10"/>
        </w:numPr>
        <w:adjustRightInd/>
        <w:snapToGrid w:val="0"/>
        <w:spacing w:before="0" w:after="0" w:line="360" w:lineRule="auto"/>
        <w:textAlignment w:val="auto"/>
        <w:rPr>
          <w:b/>
          <w:bCs/>
        </w:rPr>
      </w:pPr>
      <w:bookmarkStart w:id="58" w:name="_Toc110605204"/>
      <w:bookmarkStart w:id="59" w:name="_Toc112056415"/>
      <w:r>
        <w:rPr>
          <w:rFonts w:hint="eastAsia"/>
          <w:b/>
          <w:bCs/>
        </w:rPr>
        <w:t>具体评估方法介绍</w:t>
      </w:r>
      <w:bookmarkEnd w:id="58"/>
      <w:bookmarkEnd w:id="59"/>
    </w:p>
    <w:p w14:paraId="774BCBD2">
      <w:pPr>
        <w:adjustRightInd w:val="0"/>
        <w:snapToGrid w:val="0"/>
        <w:spacing w:line="360" w:lineRule="auto"/>
        <w:ind w:firstLine="480" w:firstLineChars="200"/>
        <w:textAlignment w:val="baseline"/>
        <w:rPr>
          <w:kern w:val="0"/>
        </w:rPr>
      </w:pPr>
      <w:bookmarkStart w:id="60" w:name="_Hlk191979290"/>
      <w:r>
        <w:rPr>
          <w:rFonts w:hint="eastAsia"/>
          <w:kern w:val="0"/>
        </w:rPr>
        <w:t>评估价值</w:t>
      </w:r>
      <w:r>
        <w:rPr>
          <w:kern w:val="0"/>
        </w:rPr>
        <w:t>=</w:t>
      </w:r>
      <w:r>
        <w:rPr>
          <w:rFonts w:hint="eastAsia"/>
          <w:kern w:val="0"/>
        </w:rPr>
        <w:t>重置价值×数量×成新率</w:t>
      </w:r>
    </w:p>
    <w:p w14:paraId="31D73AB7">
      <w:pPr>
        <w:adjustRightInd w:val="0"/>
        <w:snapToGrid w:val="0"/>
        <w:spacing w:line="360" w:lineRule="auto"/>
        <w:ind w:firstLine="480" w:firstLineChars="200"/>
        <w:textAlignment w:val="baseline"/>
        <w:rPr>
          <w:kern w:val="0"/>
        </w:rPr>
      </w:pPr>
      <w:r>
        <w:rPr>
          <w:rFonts w:hint="eastAsia"/>
          <w:kern w:val="0"/>
        </w:rPr>
        <w:t>1、重置全价的确定</w:t>
      </w:r>
    </w:p>
    <w:p w14:paraId="28F44909">
      <w:pPr>
        <w:adjustRightInd w:val="0"/>
        <w:snapToGrid w:val="0"/>
        <w:spacing w:line="360" w:lineRule="auto"/>
        <w:ind w:firstLine="480" w:firstLineChars="200"/>
        <w:textAlignment w:val="baseline"/>
        <w:rPr>
          <w:kern w:val="0"/>
        </w:rPr>
      </w:pPr>
      <w:r>
        <w:rPr>
          <w:rFonts w:hint="eastAsia"/>
          <w:kern w:val="0"/>
        </w:rPr>
        <w:t>重置全价＝购置价＋运杂费＋安装调试费－可抵扣的增值税进项税</w:t>
      </w:r>
    </w:p>
    <w:p w14:paraId="3EA2ADD8">
      <w:pPr>
        <w:adjustRightInd w:val="0"/>
        <w:snapToGrid w:val="0"/>
        <w:spacing w:line="360" w:lineRule="auto"/>
        <w:ind w:firstLine="480" w:firstLineChars="200"/>
        <w:textAlignment w:val="baseline"/>
        <w:rPr>
          <w:kern w:val="0"/>
        </w:rPr>
      </w:pPr>
      <w:r>
        <w:rPr>
          <w:rFonts w:hint="eastAsia"/>
          <w:kern w:val="0"/>
        </w:rPr>
        <w:t>(1)设备购置价</w:t>
      </w:r>
    </w:p>
    <w:p w14:paraId="01F40D91">
      <w:pPr>
        <w:adjustRightInd w:val="0"/>
        <w:snapToGrid w:val="0"/>
        <w:spacing w:line="360" w:lineRule="auto"/>
        <w:ind w:firstLine="480" w:firstLineChars="200"/>
        <w:textAlignment w:val="baseline"/>
        <w:rPr>
          <w:kern w:val="0"/>
        </w:rPr>
      </w:pPr>
      <w:r>
        <w:rPr>
          <w:rFonts w:hint="eastAsia"/>
          <w:kern w:val="0"/>
        </w:rPr>
        <w:t>对于仍在现行市场流通的设备，直接按现行市场价确定设备的购置价格。</w:t>
      </w:r>
    </w:p>
    <w:p w14:paraId="0AB91BD7">
      <w:pPr>
        <w:adjustRightInd w:val="0"/>
        <w:snapToGrid w:val="0"/>
        <w:spacing w:line="360" w:lineRule="auto"/>
        <w:ind w:firstLine="480" w:firstLineChars="200"/>
        <w:textAlignment w:val="baseline"/>
        <w:rPr>
          <w:kern w:val="0"/>
        </w:rPr>
      </w:pPr>
      <w:r>
        <w:rPr>
          <w:rFonts w:hint="eastAsia"/>
          <w:kern w:val="0"/>
        </w:rPr>
        <w:t>(2)运杂费</w:t>
      </w:r>
    </w:p>
    <w:p w14:paraId="7A6DC85E">
      <w:pPr>
        <w:adjustRightInd w:val="0"/>
        <w:snapToGrid w:val="0"/>
        <w:spacing w:line="360" w:lineRule="auto"/>
        <w:ind w:firstLine="480" w:firstLineChars="200"/>
        <w:textAlignment w:val="baseline"/>
        <w:rPr>
          <w:kern w:val="0"/>
        </w:rPr>
      </w:pPr>
      <w:r>
        <w:rPr>
          <w:rFonts w:hint="eastAsia"/>
          <w:kern w:val="0"/>
        </w:rPr>
        <w:t>运杂费是指厂家或经销商销售处到设备安装现场的运输费用。</w:t>
      </w:r>
    </w:p>
    <w:p w14:paraId="60ACB6FF">
      <w:pPr>
        <w:adjustRightInd w:val="0"/>
        <w:snapToGrid w:val="0"/>
        <w:spacing w:line="360" w:lineRule="auto"/>
        <w:ind w:firstLine="480" w:firstLineChars="200"/>
        <w:textAlignment w:val="baseline"/>
        <w:rPr>
          <w:kern w:val="0"/>
        </w:rPr>
      </w:pPr>
      <w:r>
        <w:rPr>
          <w:rFonts w:hint="eastAsia"/>
          <w:kern w:val="0"/>
        </w:rPr>
        <w:t>(3)安装调试费</w:t>
      </w:r>
    </w:p>
    <w:p w14:paraId="5CF5451A">
      <w:pPr>
        <w:adjustRightInd w:val="0"/>
        <w:snapToGrid w:val="0"/>
        <w:spacing w:line="360" w:lineRule="auto"/>
        <w:ind w:firstLine="480" w:firstLineChars="200"/>
        <w:textAlignment w:val="baseline"/>
        <w:rPr>
          <w:kern w:val="0"/>
        </w:rPr>
      </w:pPr>
      <w:r>
        <w:rPr>
          <w:rFonts w:hint="eastAsia"/>
          <w:kern w:val="0"/>
        </w:rPr>
        <w:t>根据设备的特点、重量、安装难易程度，参考行业定额，以购置价为基础，按不同安装费率计取。</w:t>
      </w:r>
    </w:p>
    <w:p w14:paraId="4868E8F0">
      <w:pPr>
        <w:adjustRightInd w:val="0"/>
        <w:snapToGrid w:val="0"/>
        <w:spacing w:line="360" w:lineRule="auto"/>
        <w:ind w:firstLine="480" w:firstLineChars="200"/>
        <w:textAlignment w:val="baseline"/>
        <w:rPr>
          <w:kern w:val="0"/>
        </w:rPr>
      </w:pPr>
      <w:r>
        <w:rPr>
          <w:rFonts w:hint="eastAsia"/>
          <w:kern w:val="0"/>
        </w:rPr>
        <w:t>2、成新率的确定</w:t>
      </w:r>
    </w:p>
    <w:p w14:paraId="7BBD07A4">
      <w:pPr>
        <w:adjustRightInd w:val="0"/>
        <w:snapToGrid w:val="0"/>
        <w:spacing w:line="360" w:lineRule="auto"/>
        <w:ind w:firstLine="480" w:firstLineChars="200"/>
        <w:textAlignment w:val="baseline"/>
        <w:rPr>
          <w:kern w:val="0"/>
        </w:rPr>
      </w:pPr>
      <w:r>
        <w:rPr>
          <w:rFonts w:hint="eastAsia"/>
          <w:kern w:val="0"/>
        </w:rPr>
        <w:t>成新率根据资产的经济寿命年限和已使用的年限确定。</w:t>
      </w:r>
    </w:p>
    <w:p w14:paraId="1DDB1139">
      <w:pPr>
        <w:adjustRightInd w:val="0"/>
        <w:snapToGrid w:val="0"/>
        <w:spacing w:line="360" w:lineRule="auto"/>
        <w:ind w:firstLine="480" w:firstLineChars="200"/>
        <w:textAlignment w:val="baseline"/>
        <w:rPr>
          <w:kern w:val="0"/>
        </w:rPr>
      </w:pPr>
      <w:r>
        <w:rPr>
          <w:rFonts w:hint="eastAsia"/>
          <w:kern w:val="0"/>
        </w:rPr>
        <w:t>成新率=（经济寿命年限-已使用的年限）/经济寿命年限×100%。</w:t>
      </w:r>
    </w:p>
    <w:p w14:paraId="783067E2">
      <w:pPr>
        <w:adjustRightInd w:val="0"/>
        <w:snapToGrid w:val="0"/>
        <w:spacing w:line="360" w:lineRule="auto"/>
        <w:ind w:firstLine="480" w:firstLineChars="200"/>
        <w:textAlignment w:val="baseline"/>
        <w:rPr>
          <w:kern w:val="0"/>
        </w:rPr>
      </w:pPr>
      <w:r>
        <w:rPr>
          <w:rFonts w:hint="eastAsia"/>
          <w:kern w:val="0"/>
        </w:rPr>
        <w:t>3、评估值的计算</w:t>
      </w:r>
    </w:p>
    <w:p w14:paraId="740E416F">
      <w:pPr>
        <w:adjustRightInd w:val="0"/>
        <w:snapToGrid w:val="0"/>
        <w:spacing w:line="360" w:lineRule="auto"/>
        <w:ind w:firstLine="480" w:firstLineChars="200"/>
        <w:textAlignment w:val="baseline"/>
        <w:rPr>
          <w:kern w:val="0"/>
        </w:rPr>
      </w:pPr>
      <w:r>
        <w:rPr>
          <w:rFonts w:hint="eastAsia"/>
          <w:kern w:val="0"/>
        </w:rPr>
        <w:t>评估值</w:t>
      </w:r>
      <w:r>
        <w:rPr>
          <w:kern w:val="0"/>
        </w:rPr>
        <w:t>=</w:t>
      </w:r>
      <w:r>
        <w:rPr>
          <w:rFonts w:hint="eastAsia"/>
          <w:kern w:val="0"/>
        </w:rPr>
        <w:t>重置全价（不含税）×成新率</w:t>
      </w:r>
    </w:p>
    <w:bookmarkEnd w:id="48"/>
    <w:bookmarkEnd w:id="60"/>
    <w:p w14:paraId="61F134BC">
      <w:pPr>
        <w:pStyle w:val="4"/>
        <w:spacing w:before="60" w:after="60" w:line="360" w:lineRule="auto"/>
        <w:ind w:firstLine="562" w:firstLineChars="200"/>
        <w:rPr>
          <w:rFonts w:ascii="Times New Roman" w:hAnsi="Times New Roman" w:eastAsia="宋体"/>
          <w:sz w:val="28"/>
        </w:rPr>
      </w:pPr>
      <w:bookmarkStart w:id="61" w:name="_Toc17586"/>
      <w:bookmarkStart w:id="62" w:name="_Toc112232551"/>
      <w:bookmarkStart w:id="63" w:name="_Toc403664414"/>
      <w:r>
        <w:rPr>
          <w:rFonts w:hint="eastAsia" w:ascii="Times New Roman" w:hAnsi="Times New Roman" w:eastAsia="宋体"/>
          <w:sz w:val="28"/>
        </w:rPr>
        <w:t>八、评估程序实施过程和情况</w:t>
      </w:r>
      <w:bookmarkEnd w:id="61"/>
      <w:bookmarkEnd w:id="62"/>
    </w:p>
    <w:p w14:paraId="7D810269">
      <w:pPr>
        <w:pStyle w:val="2"/>
        <w:snapToGrid w:val="0"/>
        <w:spacing w:line="360" w:lineRule="auto"/>
        <w:ind w:firstLine="480" w:firstLineChars="200"/>
      </w:pPr>
      <w:bookmarkStart w:id="64" w:name="_Hlk195190570"/>
      <w:r>
        <w:rPr>
          <w:rFonts w:hint="eastAsia"/>
        </w:rPr>
        <w:t>资产评估专业人员于2025年10月15日至2025年11月4日对评估对象涉及的资产实施了评估工作，本次评估程序实施过程介绍如下</w:t>
      </w:r>
      <w:bookmarkEnd w:id="64"/>
      <w:r>
        <w:rPr>
          <w:rFonts w:hint="eastAsia"/>
        </w:rPr>
        <w:t>：</w:t>
      </w:r>
    </w:p>
    <w:p w14:paraId="5946687C">
      <w:pPr>
        <w:pStyle w:val="5"/>
        <w:numPr>
          <w:ilvl w:val="0"/>
          <w:numId w:val="11"/>
        </w:numPr>
        <w:adjustRightInd w:val="0"/>
        <w:snapToGrid w:val="0"/>
        <w:spacing w:before="0" w:after="0" w:line="360" w:lineRule="auto"/>
        <w:ind w:left="0" w:firstLine="482" w:firstLineChars="200"/>
        <w:rPr>
          <w:sz w:val="24"/>
          <w:szCs w:val="24"/>
        </w:rPr>
      </w:pPr>
      <w:r>
        <w:rPr>
          <w:rFonts w:hint="eastAsia"/>
          <w:sz w:val="24"/>
          <w:szCs w:val="24"/>
        </w:rPr>
        <w:t>明确评估业务基本事项</w:t>
      </w:r>
    </w:p>
    <w:p w14:paraId="7D233E13">
      <w:pPr>
        <w:pStyle w:val="2"/>
        <w:snapToGrid w:val="0"/>
        <w:spacing w:line="360" w:lineRule="auto"/>
        <w:ind w:firstLine="480" w:firstLineChars="200"/>
      </w:pPr>
      <w:r>
        <w:rPr>
          <w:rFonts w:hint="eastAsia"/>
        </w:rPr>
        <w:t>由本公司业务负责人与委托人代表商谈明确委托人、产权持有人和委托人以外的资产评估委托合同中约定的其他资产评估报告使用人；评估目的；评估对象和评估范围；价值类型；评估基准日；评估报告使用限制；评估报告提交时间及方式；评估服务费总额、支付时间和方式；委托人与资产评估专业人员工作配合和协助等其他需要明确的重要事项。</w:t>
      </w:r>
    </w:p>
    <w:p w14:paraId="4C1167B9">
      <w:pPr>
        <w:pStyle w:val="5"/>
        <w:numPr>
          <w:ilvl w:val="0"/>
          <w:numId w:val="11"/>
        </w:numPr>
        <w:adjustRightInd w:val="0"/>
        <w:snapToGrid w:val="0"/>
        <w:spacing w:before="0" w:after="0" w:line="360" w:lineRule="auto"/>
        <w:ind w:left="0" w:firstLine="482" w:firstLineChars="200"/>
        <w:rPr>
          <w:sz w:val="24"/>
          <w:szCs w:val="24"/>
        </w:rPr>
      </w:pPr>
      <w:r>
        <w:rPr>
          <w:rFonts w:hint="eastAsia"/>
          <w:sz w:val="24"/>
          <w:szCs w:val="24"/>
        </w:rPr>
        <w:t>签订资产评估委托合同</w:t>
      </w:r>
    </w:p>
    <w:p w14:paraId="52C4F1C2">
      <w:pPr>
        <w:pStyle w:val="2"/>
        <w:snapToGrid w:val="0"/>
        <w:spacing w:line="360" w:lineRule="auto"/>
        <w:ind w:firstLine="480" w:firstLineChars="200"/>
      </w:pPr>
      <w:r>
        <w:rPr>
          <w:rFonts w:hint="eastAsia"/>
        </w:rPr>
        <w:t>根据评估业务具体情况，本公司对专业能力、独立性和业务风险进行综合分析和评价，由资产评估机构决定承接该评估业务并与委托人依法订立资产评估委托合同，约定资产评估机构和委托人权利、义务、违约责任和争议解决等内容。</w:t>
      </w:r>
    </w:p>
    <w:p w14:paraId="687B793D">
      <w:pPr>
        <w:pStyle w:val="5"/>
        <w:numPr>
          <w:ilvl w:val="0"/>
          <w:numId w:val="11"/>
        </w:numPr>
        <w:adjustRightInd w:val="0"/>
        <w:snapToGrid w:val="0"/>
        <w:spacing w:before="0" w:after="0" w:line="360" w:lineRule="auto"/>
        <w:ind w:left="0" w:firstLine="482" w:firstLineChars="200"/>
        <w:rPr>
          <w:sz w:val="24"/>
          <w:szCs w:val="24"/>
        </w:rPr>
      </w:pPr>
      <w:r>
        <w:rPr>
          <w:rFonts w:hint="eastAsia"/>
          <w:sz w:val="24"/>
          <w:szCs w:val="24"/>
        </w:rPr>
        <w:t>编制评估计划</w:t>
      </w:r>
    </w:p>
    <w:p w14:paraId="63E70A3A">
      <w:pPr>
        <w:pStyle w:val="2"/>
        <w:snapToGrid w:val="0"/>
        <w:spacing w:line="360" w:lineRule="auto"/>
        <w:ind w:firstLine="480" w:firstLineChars="200"/>
      </w:pPr>
      <w:r>
        <w:rPr>
          <w:rFonts w:hint="eastAsia"/>
        </w:rPr>
        <w:t>本公司承接该评估业务后，立即组织资产评估专业人员编制了资产评估计划。资产评估计划包括资产评估业务实施的主要过程及时间进度、人员安排及技术方案等。</w:t>
      </w:r>
    </w:p>
    <w:p w14:paraId="31803095">
      <w:pPr>
        <w:pStyle w:val="5"/>
        <w:numPr>
          <w:ilvl w:val="0"/>
          <w:numId w:val="11"/>
        </w:numPr>
        <w:adjustRightInd w:val="0"/>
        <w:snapToGrid w:val="0"/>
        <w:spacing w:before="0" w:after="0" w:line="360" w:lineRule="auto"/>
        <w:ind w:left="0" w:firstLine="482" w:firstLineChars="200"/>
        <w:rPr>
          <w:sz w:val="24"/>
          <w:szCs w:val="24"/>
        </w:rPr>
      </w:pPr>
      <w:r>
        <w:rPr>
          <w:rFonts w:hint="eastAsia"/>
          <w:sz w:val="24"/>
          <w:szCs w:val="24"/>
        </w:rPr>
        <w:t>现场调查</w:t>
      </w:r>
    </w:p>
    <w:p w14:paraId="1DD491FB">
      <w:pPr>
        <w:pStyle w:val="2"/>
        <w:snapToGrid w:val="0"/>
        <w:spacing w:line="360" w:lineRule="auto"/>
        <w:ind w:firstLine="480" w:firstLineChars="200"/>
      </w:pPr>
      <w:r>
        <w:rPr>
          <w:rFonts w:hint="eastAsia"/>
        </w:rPr>
        <w:t>根据评估业务具体情况，我们对评估对象进行了适当的现场调查。包括：</w:t>
      </w:r>
    </w:p>
    <w:p w14:paraId="7EF11974">
      <w:pPr>
        <w:pStyle w:val="2"/>
        <w:snapToGrid w:val="0"/>
        <w:spacing w:line="360" w:lineRule="auto"/>
        <w:ind w:firstLine="480" w:firstLineChars="200"/>
      </w:pPr>
      <w:r>
        <w:rPr>
          <w:rFonts w:hint="eastAsia"/>
        </w:rPr>
        <w:t>1．要求委托人和产权持有人提供涉及评估对象和评估范围内资产的相关资料；</w:t>
      </w:r>
    </w:p>
    <w:p w14:paraId="026A7E17">
      <w:pPr>
        <w:pStyle w:val="2"/>
        <w:snapToGrid w:val="0"/>
        <w:spacing w:line="360" w:lineRule="auto"/>
        <w:ind w:firstLine="480" w:firstLineChars="200"/>
      </w:pPr>
      <w:r>
        <w:rPr>
          <w:rFonts w:hint="eastAsia"/>
        </w:rPr>
        <w:t>2．要求委托人或者产权持有人对其提供的评估明细表及相关证明材料以签名、盖章及法律允许的其他方式进行确认；</w:t>
      </w:r>
    </w:p>
    <w:p w14:paraId="4A73F113">
      <w:pPr>
        <w:pStyle w:val="2"/>
        <w:snapToGrid w:val="0"/>
        <w:spacing w:line="360" w:lineRule="auto"/>
        <w:ind w:firstLine="480" w:firstLineChars="200"/>
      </w:pPr>
      <w:r>
        <w:rPr>
          <w:rFonts w:hint="eastAsia"/>
        </w:rPr>
        <w:t>3．资产评估专业人员通过询问、访谈、核对、监盘、勘查等方式进行调查，获取评估业务需要的资料，了解评估对象现状，关注评估对象法律权属；</w:t>
      </w:r>
    </w:p>
    <w:p w14:paraId="5CF45300">
      <w:pPr>
        <w:pStyle w:val="2"/>
        <w:snapToGrid w:val="0"/>
        <w:spacing w:line="360" w:lineRule="auto"/>
        <w:ind w:firstLine="480" w:firstLineChars="200"/>
      </w:pPr>
      <w:r>
        <w:rPr>
          <w:rFonts w:hint="eastAsia"/>
        </w:rPr>
        <w:t>4．对无法或者不宜对评估范围内所有资产等有关内容进行逐项调查的，根据重要程度采用抽查等方式进行调查。</w:t>
      </w:r>
    </w:p>
    <w:p w14:paraId="24210377">
      <w:pPr>
        <w:pStyle w:val="5"/>
        <w:numPr>
          <w:ilvl w:val="0"/>
          <w:numId w:val="11"/>
        </w:numPr>
        <w:adjustRightInd w:val="0"/>
        <w:snapToGrid w:val="0"/>
        <w:spacing w:before="0" w:after="0" w:line="360" w:lineRule="auto"/>
        <w:ind w:left="0" w:firstLine="482" w:firstLineChars="200"/>
        <w:rPr>
          <w:sz w:val="24"/>
          <w:szCs w:val="24"/>
        </w:rPr>
      </w:pPr>
      <w:r>
        <w:rPr>
          <w:rFonts w:hint="eastAsia"/>
          <w:sz w:val="24"/>
          <w:szCs w:val="24"/>
        </w:rPr>
        <w:t>收集评估资料</w:t>
      </w:r>
    </w:p>
    <w:p w14:paraId="218EA541">
      <w:pPr>
        <w:pStyle w:val="2"/>
        <w:snapToGrid w:val="0"/>
        <w:spacing w:before="0" w:after="0" w:line="360" w:lineRule="auto"/>
        <w:ind w:firstLine="480" w:firstLineChars="200"/>
      </w:pPr>
      <w:r>
        <w:rPr>
          <w:rFonts w:hint="eastAsia"/>
        </w:rPr>
        <w:t>我们根据评估业务具体情况收集评估资料，并根据评估业务需要和评估业务实施过程中的情况变化及时补充收集评估资料。这些资料包括：</w:t>
      </w:r>
    </w:p>
    <w:p w14:paraId="78666ADA">
      <w:pPr>
        <w:pStyle w:val="2"/>
        <w:snapToGrid w:val="0"/>
        <w:spacing w:before="0" w:after="0" w:line="360" w:lineRule="auto"/>
        <w:ind w:firstLine="480" w:firstLineChars="200"/>
      </w:pPr>
      <w:r>
        <w:rPr>
          <w:rFonts w:hint="eastAsia"/>
        </w:rPr>
        <w:t>1．直接从市场等渠道独立获取的资料，从委托人、产权持有人等相关当事方获取的资料，以及从政府部门、各类专业机构和其他相关部门获取的资料；</w:t>
      </w:r>
    </w:p>
    <w:p w14:paraId="0C1E2EE6">
      <w:pPr>
        <w:pStyle w:val="2"/>
        <w:snapToGrid w:val="0"/>
        <w:spacing w:before="0" w:after="0" w:line="360" w:lineRule="auto"/>
        <w:ind w:firstLine="480" w:firstLineChars="200"/>
      </w:pPr>
      <w:r>
        <w:rPr>
          <w:rFonts w:hint="eastAsia"/>
        </w:rPr>
        <w:t>2．查询记录、询价结果、检查记录、行业资讯、分析资料及专业报告等形式；</w:t>
      </w:r>
    </w:p>
    <w:p w14:paraId="7CF9F136">
      <w:pPr>
        <w:pStyle w:val="2"/>
        <w:snapToGrid w:val="0"/>
        <w:spacing w:before="0" w:after="0" w:line="360" w:lineRule="auto"/>
        <w:ind w:firstLine="480" w:firstLineChars="200"/>
      </w:pPr>
      <w:r>
        <w:rPr>
          <w:rFonts w:hint="eastAsia"/>
        </w:rPr>
        <w:t>3．资产评估专业人员依法对资产评估活动中使用的资料进行核查验证。核查验证的方式通常包括观察、询问、书面审查、实地调查、查询、函证、复核等。</w:t>
      </w:r>
    </w:p>
    <w:p w14:paraId="1BA7A5A5">
      <w:pPr>
        <w:pStyle w:val="2"/>
        <w:snapToGrid w:val="0"/>
        <w:spacing w:before="0" w:after="0" w:line="360" w:lineRule="auto"/>
        <w:ind w:firstLine="480" w:firstLineChars="200"/>
      </w:pPr>
      <w:r>
        <w:rPr>
          <w:rFonts w:hint="eastAsia"/>
        </w:rPr>
        <w:t>4．资产评估专业人员根据资产评估业务具体情况对收集的评估资料进行分析、归纳和整理，形成评定估算和编制资产评估报告的依据。</w:t>
      </w:r>
    </w:p>
    <w:p w14:paraId="098A7CB1">
      <w:pPr>
        <w:pStyle w:val="5"/>
        <w:numPr>
          <w:ilvl w:val="0"/>
          <w:numId w:val="11"/>
        </w:numPr>
        <w:adjustRightInd w:val="0"/>
        <w:snapToGrid w:val="0"/>
        <w:spacing w:before="0" w:after="0" w:line="360" w:lineRule="auto"/>
        <w:ind w:left="0" w:firstLine="482" w:firstLineChars="200"/>
        <w:rPr>
          <w:sz w:val="24"/>
          <w:szCs w:val="24"/>
        </w:rPr>
      </w:pPr>
      <w:r>
        <w:rPr>
          <w:rFonts w:hint="eastAsia"/>
          <w:sz w:val="24"/>
          <w:szCs w:val="24"/>
        </w:rPr>
        <w:t>评定估算</w:t>
      </w:r>
    </w:p>
    <w:p w14:paraId="20DE4C4C">
      <w:pPr>
        <w:pStyle w:val="2"/>
        <w:snapToGrid w:val="0"/>
        <w:spacing w:line="360" w:lineRule="auto"/>
        <w:ind w:firstLine="480" w:firstLineChars="200"/>
      </w:pPr>
      <w:r>
        <w:t>资产评估专业人员针对资产的具体情况，根据选用的评估方法，选取相应的公式和参数进行分析、计算和判断，形成了初步评估结论。项目负责人对各类资产评估初步结论进行汇总，撰写并形成初步资产评估报告</w:t>
      </w:r>
      <w:r>
        <w:rPr>
          <w:rFonts w:hint="eastAsia"/>
        </w:rPr>
        <w:t>。</w:t>
      </w:r>
    </w:p>
    <w:p w14:paraId="0B21C9B8">
      <w:pPr>
        <w:pStyle w:val="5"/>
        <w:numPr>
          <w:ilvl w:val="0"/>
          <w:numId w:val="11"/>
        </w:numPr>
        <w:adjustRightInd w:val="0"/>
        <w:snapToGrid w:val="0"/>
        <w:spacing w:before="0" w:after="0" w:line="360" w:lineRule="auto"/>
        <w:ind w:left="0" w:firstLine="482" w:firstLineChars="200"/>
        <w:rPr>
          <w:sz w:val="24"/>
          <w:szCs w:val="24"/>
        </w:rPr>
      </w:pPr>
      <w:r>
        <w:rPr>
          <w:rFonts w:hint="eastAsia"/>
          <w:sz w:val="24"/>
          <w:szCs w:val="24"/>
        </w:rPr>
        <w:t>编制和提交评估报告</w:t>
      </w:r>
    </w:p>
    <w:p w14:paraId="2A443D9C">
      <w:pPr>
        <w:pStyle w:val="2"/>
        <w:snapToGrid w:val="0"/>
        <w:spacing w:before="0" w:after="0" w:line="360" w:lineRule="auto"/>
        <w:ind w:firstLine="480" w:firstLineChars="200"/>
      </w:pPr>
      <w:r>
        <w:rPr>
          <w:rFonts w:hint="eastAsia"/>
        </w:rPr>
        <w:t>在上述工作的基础上，起草资产评估报告书初稿。本公司内部对评估报告初稿和工作底稿进行初审后，与委托人或者委托人同意的其他相关当事人就评估报告有关内容进行了必要沟通。在全面考虑有关意见后，对评估报告进行必要的调整、修改和完善，然后重新按本公司内部资产评估报告审核制度和程序对报告进行了认真审核后，由本公司出具正式评估报告向委托人提交。</w:t>
      </w:r>
    </w:p>
    <w:p w14:paraId="16FC5221">
      <w:pPr>
        <w:pStyle w:val="4"/>
        <w:spacing w:before="60" w:after="60" w:line="360" w:lineRule="auto"/>
        <w:ind w:firstLine="562" w:firstLineChars="200"/>
        <w:rPr>
          <w:rFonts w:ascii="Times New Roman" w:hAnsi="Times New Roman" w:eastAsia="宋体"/>
          <w:sz w:val="28"/>
        </w:rPr>
      </w:pPr>
      <w:bookmarkStart w:id="65" w:name="_Toc112232552"/>
      <w:r>
        <w:rPr>
          <w:rFonts w:hint="eastAsia" w:ascii="Times New Roman" w:hAnsi="Times New Roman" w:eastAsia="宋体"/>
          <w:sz w:val="28"/>
        </w:rPr>
        <w:t>九、评估假设</w:t>
      </w:r>
      <w:bookmarkEnd w:id="65"/>
    </w:p>
    <w:p w14:paraId="68E78843">
      <w:pPr>
        <w:tabs>
          <w:tab w:val="left" w:pos="993"/>
        </w:tabs>
        <w:spacing w:line="360" w:lineRule="auto"/>
        <w:ind w:firstLine="482" w:firstLineChars="200"/>
        <w:outlineLvl w:val="2"/>
        <w:rPr>
          <w:b/>
          <w:bCs/>
          <w:snapToGrid w:val="0"/>
          <w:szCs w:val="24"/>
        </w:rPr>
      </w:pPr>
      <w:r>
        <w:rPr>
          <w:rFonts w:hint="eastAsia"/>
          <w:b/>
          <w:bCs/>
          <w:snapToGrid w:val="0"/>
          <w:szCs w:val="24"/>
        </w:rPr>
        <w:t>（一）基本假设</w:t>
      </w:r>
    </w:p>
    <w:p w14:paraId="15636F19">
      <w:pPr>
        <w:numPr>
          <w:ilvl w:val="1"/>
          <w:numId w:val="12"/>
        </w:numPr>
        <w:spacing w:line="360" w:lineRule="auto"/>
        <w:ind w:left="0" w:firstLine="480" w:firstLineChars="200"/>
        <w:rPr>
          <w:snapToGrid w:val="0"/>
          <w:szCs w:val="24"/>
        </w:rPr>
      </w:pPr>
      <w:r>
        <w:rPr>
          <w:rFonts w:hint="eastAsia"/>
          <w:snapToGrid w:val="0"/>
          <w:szCs w:val="24"/>
        </w:rPr>
        <w:t>公开市场假设，即假定在市场上交易的资产或拟在市场上交易的资产，资产交易双方彼此地位平等，彼此都有获取足够市场信息的机会和时间，以便于对资产的功能、用途及其交易价格等做出理智的判断；</w:t>
      </w:r>
    </w:p>
    <w:p w14:paraId="22A9D61E">
      <w:pPr>
        <w:numPr>
          <w:ilvl w:val="1"/>
          <w:numId w:val="12"/>
        </w:numPr>
        <w:spacing w:line="360" w:lineRule="auto"/>
        <w:ind w:left="0" w:firstLine="480" w:firstLineChars="200"/>
        <w:rPr>
          <w:snapToGrid w:val="0"/>
          <w:szCs w:val="24"/>
        </w:rPr>
      </w:pPr>
      <w:r>
        <w:rPr>
          <w:rFonts w:hint="eastAsia"/>
          <w:snapToGrid w:val="0"/>
          <w:szCs w:val="24"/>
        </w:rPr>
        <w:t>交易假设，即假定所有待评估资产已经处在交易的过程中，评估师根据待评估资产的交易条件等模拟市场进行估价。交易假设是资产评估得以进行的一个最基本的前提假设；</w:t>
      </w:r>
    </w:p>
    <w:p w14:paraId="6888140A">
      <w:pPr>
        <w:numPr>
          <w:ilvl w:val="1"/>
          <w:numId w:val="12"/>
        </w:numPr>
        <w:spacing w:line="360" w:lineRule="auto"/>
        <w:ind w:left="0" w:firstLine="480" w:firstLineChars="200"/>
        <w:rPr>
          <w:snapToGrid w:val="0"/>
          <w:szCs w:val="24"/>
        </w:rPr>
      </w:pPr>
      <w:r>
        <w:rPr>
          <w:rFonts w:hint="eastAsia"/>
          <w:kern w:val="0"/>
          <w:szCs w:val="24"/>
        </w:rPr>
        <w:t>原地持续使用假设：</w:t>
      </w:r>
      <w:r>
        <w:rPr>
          <w:rFonts w:hint="eastAsia"/>
          <w:szCs w:val="24"/>
        </w:rPr>
        <w:t>假定待估资产能够完好保持原有使用状态继续使用下去。在该假设条件下，没有考虑资产用途转换或者最佳利用条件，其评估结果的使用范围受到限制</w:t>
      </w:r>
      <w:r>
        <w:rPr>
          <w:rFonts w:hint="eastAsia"/>
          <w:kern w:val="0"/>
          <w:szCs w:val="24"/>
        </w:rPr>
        <w:t>。</w:t>
      </w:r>
    </w:p>
    <w:p w14:paraId="4775A6FD">
      <w:pPr>
        <w:numPr>
          <w:ilvl w:val="1"/>
          <w:numId w:val="12"/>
        </w:numPr>
        <w:spacing w:line="360" w:lineRule="auto"/>
        <w:ind w:left="0" w:firstLine="480" w:firstLineChars="200"/>
        <w:rPr>
          <w:snapToGrid w:val="0"/>
          <w:szCs w:val="24"/>
        </w:rPr>
      </w:pPr>
      <w:r>
        <w:rPr>
          <w:rFonts w:hint="eastAsia"/>
          <w:snapToGrid w:val="0"/>
          <w:szCs w:val="24"/>
        </w:rPr>
        <w:t>资产按现有用途使用假设</w:t>
      </w:r>
      <w:r>
        <w:rPr>
          <w:snapToGrid w:val="0"/>
          <w:szCs w:val="24"/>
        </w:rPr>
        <w:t>：持续使用假设是对资产拟进入市场的条件以及资产在这样的市场条件下的资产状态的一种假定。首先被评估资产正处于使用状态，其次假定处于使用状态的资产还将继续使用下去。在持续使用假设条件下，没有考虑资产用途转换或者最佳利用条件，其评估结果的使用范围受到限制。</w:t>
      </w:r>
    </w:p>
    <w:p w14:paraId="07940C35">
      <w:pPr>
        <w:tabs>
          <w:tab w:val="left" w:pos="993"/>
        </w:tabs>
        <w:spacing w:line="360" w:lineRule="auto"/>
        <w:ind w:firstLine="482" w:firstLineChars="200"/>
        <w:outlineLvl w:val="2"/>
        <w:rPr>
          <w:b/>
          <w:bCs/>
          <w:snapToGrid w:val="0"/>
          <w:szCs w:val="24"/>
        </w:rPr>
      </w:pPr>
      <w:bookmarkStart w:id="66" w:name="_Toc284660070"/>
      <w:bookmarkStart w:id="67" w:name="_Toc284660112"/>
      <w:r>
        <w:rPr>
          <w:rFonts w:hint="eastAsia"/>
          <w:b/>
          <w:bCs/>
          <w:snapToGrid w:val="0"/>
          <w:szCs w:val="24"/>
        </w:rPr>
        <w:t>（二）一般假设</w:t>
      </w:r>
      <w:bookmarkEnd w:id="66"/>
      <w:bookmarkEnd w:id="67"/>
      <w:bookmarkStart w:id="68" w:name="_Toc284660071"/>
      <w:bookmarkStart w:id="69" w:name="_Toc267862443"/>
      <w:bookmarkStart w:id="70" w:name="_Toc284660113"/>
      <w:bookmarkStart w:id="71" w:name="_Toc267862698"/>
    </w:p>
    <w:p w14:paraId="55A50DFE">
      <w:pPr>
        <w:numPr>
          <w:ilvl w:val="1"/>
          <w:numId w:val="13"/>
        </w:numPr>
        <w:spacing w:line="360" w:lineRule="auto"/>
        <w:ind w:left="0" w:firstLine="480" w:firstLineChars="200"/>
        <w:rPr>
          <w:snapToGrid w:val="0"/>
          <w:szCs w:val="24"/>
        </w:rPr>
      </w:pPr>
      <w:r>
        <w:rPr>
          <w:rFonts w:hint="eastAsia"/>
          <w:snapToGrid w:val="0"/>
          <w:szCs w:val="24"/>
        </w:rPr>
        <w:t>假设国家现行的有关法律法规及政策、国家宏观经济形势无重大变化，本次交易各方所处地区的政治、经济和社会环境无重大变化；</w:t>
      </w:r>
    </w:p>
    <w:p w14:paraId="3816A0B7">
      <w:pPr>
        <w:numPr>
          <w:ilvl w:val="1"/>
          <w:numId w:val="13"/>
        </w:numPr>
        <w:spacing w:line="360" w:lineRule="auto"/>
        <w:ind w:left="0" w:firstLine="480" w:firstLineChars="200"/>
        <w:rPr>
          <w:snapToGrid w:val="0"/>
          <w:szCs w:val="24"/>
        </w:rPr>
      </w:pPr>
      <w:r>
        <w:rPr>
          <w:rFonts w:hint="eastAsia"/>
          <w:snapToGrid w:val="0"/>
          <w:szCs w:val="24"/>
        </w:rPr>
        <w:t>假设和产权持有人相关的利率、汇率、赋税基准及税率、政策性征收费用等评估基准日后不发生重大变化；</w:t>
      </w:r>
    </w:p>
    <w:p w14:paraId="57206558">
      <w:pPr>
        <w:numPr>
          <w:ilvl w:val="1"/>
          <w:numId w:val="13"/>
        </w:numPr>
        <w:spacing w:line="360" w:lineRule="auto"/>
        <w:ind w:left="0" w:firstLine="480" w:firstLineChars="200"/>
        <w:rPr>
          <w:snapToGrid w:val="0"/>
          <w:szCs w:val="24"/>
        </w:rPr>
      </w:pPr>
      <w:r>
        <w:rPr>
          <w:rFonts w:hint="eastAsia"/>
          <w:snapToGrid w:val="0"/>
          <w:szCs w:val="24"/>
        </w:rPr>
        <w:t>假设评估基准日后无不可抗力及不可预见因素对产权持有人造成重大不利影响。</w:t>
      </w:r>
    </w:p>
    <w:p w14:paraId="10DCCB25">
      <w:pPr>
        <w:tabs>
          <w:tab w:val="left" w:pos="993"/>
        </w:tabs>
        <w:spacing w:line="360" w:lineRule="auto"/>
        <w:ind w:firstLine="482" w:firstLineChars="200"/>
        <w:outlineLvl w:val="2"/>
        <w:rPr>
          <w:b/>
          <w:bCs/>
          <w:snapToGrid w:val="0"/>
          <w:szCs w:val="24"/>
        </w:rPr>
      </w:pPr>
      <w:r>
        <w:rPr>
          <w:rFonts w:hint="eastAsia"/>
          <w:b/>
          <w:bCs/>
          <w:snapToGrid w:val="0"/>
          <w:szCs w:val="24"/>
        </w:rPr>
        <w:t>（三）特殊假设</w:t>
      </w:r>
      <w:bookmarkEnd w:id="68"/>
      <w:bookmarkEnd w:id="69"/>
      <w:bookmarkEnd w:id="70"/>
      <w:bookmarkEnd w:id="71"/>
    </w:p>
    <w:p w14:paraId="016A0CAF">
      <w:pPr>
        <w:numPr>
          <w:ilvl w:val="1"/>
          <w:numId w:val="14"/>
        </w:numPr>
        <w:spacing w:line="360" w:lineRule="auto"/>
        <w:ind w:left="0" w:firstLine="480" w:firstLineChars="200"/>
        <w:rPr>
          <w:snapToGrid w:val="0"/>
          <w:szCs w:val="24"/>
        </w:rPr>
      </w:pPr>
      <w:r>
        <w:rPr>
          <w:rFonts w:hint="eastAsia"/>
          <w:snapToGrid w:val="0"/>
          <w:szCs w:val="24"/>
        </w:rPr>
        <w:t>假设委托人暨被产权持有人所提供的有关企业经营的一般资料、产权资料、政策文件等相关材料真实、有效；</w:t>
      </w:r>
    </w:p>
    <w:p w14:paraId="5C753890">
      <w:pPr>
        <w:numPr>
          <w:ilvl w:val="1"/>
          <w:numId w:val="14"/>
        </w:numPr>
        <w:spacing w:line="360" w:lineRule="auto"/>
        <w:ind w:left="0" w:firstLine="480" w:firstLineChars="200"/>
        <w:rPr>
          <w:snapToGrid w:val="0"/>
          <w:szCs w:val="24"/>
        </w:rPr>
      </w:pPr>
      <w:r>
        <w:rPr>
          <w:rFonts w:hint="eastAsia"/>
          <w:snapToGrid w:val="0"/>
          <w:szCs w:val="24"/>
        </w:rPr>
        <w:t>假设评估对象所涉及资产的购置、取得、建造过程均符合国家有关法律法规规定；</w:t>
      </w:r>
    </w:p>
    <w:p w14:paraId="1807E5DA">
      <w:pPr>
        <w:numPr>
          <w:ilvl w:val="1"/>
          <w:numId w:val="14"/>
        </w:numPr>
        <w:spacing w:line="360" w:lineRule="auto"/>
        <w:ind w:left="0" w:firstLine="480" w:firstLineChars="200"/>
        <w:rPr>
          <w:snapToGrid w:val="0"/>
          <w:szCs w:val="24"/>
        </w:rPr>
      </w:pPr>
      <w:r>
        <w:rPr>
          <w:rFonts w:hint="eastAsia"/>
          <w:snapToGrid w:val="0"/>
          <w:szCs w:val="24"/>
        </w:rPr>
        <w:t>假设评估对象所涉及的实物资产无影响其持续使用的重大技术故障，假设其关键部件和材料无潜在的重大质量缺陷；</w:t>
      </w:r>
    </w:p>
    <w:p w14:paraId="02098C9A">
      <w:pPr>
        <w:numPr>
          <w:ilvl w:val="1"/>
          <w:numId w:val="14"/>
        </w:numPr>
        <w:spacing w:line="360" w:lineRule="auto"/>
        <w:ind w:left="0" w:firstLine="480" w:firstLineChars="200"/>
        <w:rPr>
          <w:snapToGrid w:val="0"/>
          <w:szCs w:val="24"/>
        </w:rPr>
      </w:pPr>
      <w:r>
        <w:rPr>
          <w:rFonts w:hint="eastAsia"/>
          <w:snapToGrid w:val="0"/>
          <w:szCs w:val="24"/>
        </w:rPr>
        <w:t>假设评估范围内的资产真实、完整，不存在产权瑕疵，不涉及任何抵押权、留置权或担保事宜，不存在其它其他限制交易事项；</w:t>
      </w:r>
    </w:p>
    <w:p w14:paraId="4363B075">
      <w:pPr>
        <w:numPr>
          <w:ilvl w:val="1"/>
          <w:numId w:val="14"/>
        </w:numPr>
        <w:spacing w:line="360" w:lineRule="auto"/>
        <w:ind w:left="0" w:firstLine="480" w:firstLineChars="200"/>
        <w:rPr>
          <w:snapToGrid w:val="0"/>
          <w:szCs w:val="24"/>
        </w:rPr>
      </w:pPr>
      <w:r>
        <w:rPr>
          <w:rFonts w:hint="eastAsia"/>
          <w:snapToGrid w:val="0"/>
          <w:szCs w:val="24"/>
        </w:rPr>
        <w:t>假设评估基准日后产权持有人的管理层是负责的、稳定的，且有能力担当其职务；</w:t>
      </w:r>
    </w:p>
    <w:p w14:paraId="62756167">
      <w:pPr>
        <w:tabs>
          <w:tab w:val="left" w:pos="945"/>
        </w:tabs>
        <w:spacing w:line="360" w:lineRule="auto"/>
        <w:ind w:firstLine="480" w:firstLineChars="200"/>
        <w:rPr>
          <w:snapToGrid w:val="0"/>
          <w:szCs w:val="24"/>
        </w:rPr>
      </w:pPr>
      <w:r>
        <w:rPr>
          <w:rFonts w:hint="eastAsia"/>
          <w:snapToGrid w:val="0"/>
          <w:szCs w:val="24"/>
        </w:rPr>
        <w:t>本资产评估报告评估结论在上述假设条件下在评估基准日时成立，当上述假设条件发生较大变化时，签名资产评估师及本评估机构将不承担由于假设条件改变而推导出不同评估结论的责任。</w:t>
      </w:r>
    </w:p>
    <w:bookmarkEnd w:id="63"/>
    <w:p w14:paraId="4C26A8A6">
      <w:pPr>
        <w:pStyle w:val="4"/>
        <w:spacing w:before="60" w:after="60" w:line="360" w:lineRule="auto"/>
        <w:ind w:firstLine="562" w:firstLineChars="200"/>
        <w:rPr>
          <w:rFonts w:ascii="Times New Roman" w:hAnsi="Times New Roman" w:eastAsia="宋体"/>
          <w:sz w:val="28"/>
        </w:rPr>
      </w:pPr>
      <w:bookmarkStart w:id="72" w:name="_Toc112232553"/>
      <w:bookmarkStart w:id="73" w:name="_Toc186555678"/>
      <w:bookmarkStart w:id="74" w:name="_Toc186357222"/>
      <w:bookmarkStart w:id="75" w:name="_Toc403664415"/>
      <w:r>
        <w:rPr>
          <w:rFonts w:hint="eastAsia" w:ascii="Times New Roman" w:hAnsi="Times New Roman" w:eastAsia="宋体"/>
          <w:sz w:val="28"/>
        </w:rPr>
        <w:t>十、评估结论</w:t>
      </w:r>
      <w:bookmarkEnd w:id="72"/>
      <w:bookmarkEnd w:id="73"/>
      <w:bookmarkEnd w:id="74"/>
    </w:p>
    <w:p w14:paraId="0220C84B">
      <w:pPr>
        <w:pStyle w:val="2"/>
        <w:snapToGrid w:val="0"/>
        <w:spacing w:line="360" w:lineRule="auto"/>
        <w:ind w:firstLine="480" w:firstLineChars="200"/>
      </w:pPr>
      <w:r>
        <w:rPr>
          <w:rFonts w:hint="eastAsia"/>
        </w:rPr>
        <w:t>经评估，中煤第五建设有限公司拟处置部分在用周转材料在评估基准日账面价值为3.56万元，不含税评估价值2</w:t>
      </w:r>
      <w:r>
        <w:rPr>
          <w:rFonts w:hint="eastAsia"/>
          <w:lang w:val="en-US" w:eastAsia="zh-CN"/>
        </w:rPr>
        <w:t>83.71</w:t>
      </w:r>
      <w:r>
        <w:rPr>
          <w:rFonts w:hint="eastAsia"/>
        </w:rPr>
        <w:t>万元，增值额为2</w:t>
      </w:r>
      <w:r>
        <w:rPr>
          <w:rFonts w:hint="eastAsia"/>
          <w:lang w:val="en-US" w:eastAsia="zh-CN"/>
        </w:rPr>
        <w:t>80.15</w:t>
      </w:r>
      <w:r>
        <w:rPr>
          <w:rFonts w:hint="eastAsia"/>
        </w:rPr>
        <w:t>万元，增值率为7,</w:t>
      </w:r>
      <w:r>
        <w:rPr>
          <w:rFonts w:hint="eastAsia"/>
          <w:lang w:val="en-US" w:eastAsia="zh-CN"/>
        </w:rPr>
        <w:t>878.80</w:t>
      </w:r>
      <w:r>
        <w:rPr>
          <w:rFonts w:hint="eastAsia"/>
        </w:rPr>
        <w:t>%</w:t>
      </w:r>
      <w:r>
        <w:rPr>
          <w:rFonts w:hint="eastAsia"/>
          <w:snapToGrid w:val="0"/>
          <w:kern w:val="2"/>
          <w:szCs w:val="24"/>
        </w:rPr>
        <w:t>。</w:t>
      </w:r>
    </w:p>
    <w:p w14:paraId="3EB08C82">
      <w:pPr>
        <w:pStyle w:val="2"/>
        <w:snapToGrid w:val="0"/>
        <w:spacing w:before="0" w:after="0" w:line="360" w:lineRule="auto"/>
        <w:ind w:firstLine="480" w:firstLineChars="200"/>
      </w:pPr>
      <w:r>
        <w:rPr>
          <w:rFonts w:hint="eastAsia"/>
        </w:rPr>
        <w:t>评估增减值原因分析如下：</w:t>
      </w:r>
    </w:p>
    <w:p w14:paraId="160B37F7">
      <w:pPr>
        <w:tabs>
          <w:tab w:val="left" w:pos="945"/>
        </w:tabs>
        <w:spacing w:line="360" w:lineRule="auto"/>
        <w:ind w:firstLine="480" w:firstLineChars="200"/>
        <w:rPr>
          <w:snapToGrid w:val="0"/>
          <w:szCs w:val="24"/>
        </w:rPr>
      </w:pPr>
      <w:r>
        <w:rPr>
          <w:rFonts w:hint="eastAsia"/>
          <w:snapToGrid w:val="0"/>
          <w:szCs w:val="24"/>
        </w:rPr>
        <w:t>由于评估范围内大部分委估资产账面价值为零，导致评估增值。</w:t>
      </w:r>
    </w:p>
    <w:bookmarkEnd w:id="75"/>
    <w:p w14:paraId="476EB5F4">
      <w:pPr>
        <w:pStyle w:val="4"/>
        <w:keepNext w:val="0"/>
        <w:keepLines w:val="0"/>
        <w:snapToGrid w:val="0"/>
        <w:spacing w:before="0" w:after="0" w:line="360" w:lineRule="auto"/>
        <w:ind w:firstLine="562" w:firstLineChars="200"/>
        <w:rPr>
          <w:rFonts w:ascii="Times New Roman" w:hAnsi="Times New Roman" w:eastAsia="宋体"/>
          <w:sz w:val="28"/>
        </w:rPr>
      </w:pPr>
      <w:bookmarkStart w:id="76" w:name="_Toc112232554"/>
      <w:bookmarkStart w:id="77" w:name="_Toc403664417"/>
      <w:bookmarkStart w:id="78" w:name="_Toc477576904"/>
      <w:r>
        <w:rPr>
          <w:rFonts w:hint="eastAsia" w:ascii="Times New Roman" w:hAnsi="Times New Roman" w:eastAsia="宋体"/>
          <w:sz w:val="28"/>
        </w:rPr>
        <w:t>十一、特别事项说明</w:t>
      </w:r>
      <w:bookmarkEnd w:id="76"/>
    </w:p>
    <w:p w14:paraId="7D472675">
      <w:pPr>
        <w:pStyle w:val="2"/>
        <w:snapToGrid w:val="0"/>
        <w:spacing w:before="0" w:after="0" w:line="360" w:lineRule="auto"/>
        <w:ind w:firstLine="480" w:firstLineChars="200"/>
      </w:pPr>
      <w:r>
        <w:rPr>
          <w:rFonts w:hint="eastAsia"/>
        </w:rPr>
        <w:t>以下事项并非本公司评估人员执业水平和能力所能评定和估算，但该事项确实可能影响评估结论，提请本评估报告使用者对此应特别关注：</w:t>
      </w:r>
    </w:p>
    <w:p w14:paraId="2D9B4806">
      <w:pPr>
        <w:pStyle w:val="2"/>
        <w:numPr>
          <w:ilvl w:val="4"/>
          <w:numId w:val="15"/>
        </w:numPr>
        <w:tabs>
          <w:tab w:val="left" w:pos="567"/>
          <w:tab w:val="left" w:pos="1134"/>
          <w:tab w:val="left" w:pos="1276"/>
        </w:tabs>
        <w:snapToGrid w:val="0"/>
        <w:spacing w:before="0" w:after="0" w:line="360" w:lineRule="auto"/>
        <w:ind w:left="0" w:firstLine="480" w:firstLineChars="200"/>
      </w:pPr>
      <w:r>
        <w:rPr>
          <w:rFonts w:hint="eastAsia"/>
        </w:rPr>
        <w:t>本次评估结果不含增值税，提醒报告使用者注意。</w:t>
      </w:r>
    </w:p>
    <w:p w14:paraId="3926C8D9">
      <w:pPr>
        <w:pStyle w:val="2"/>
        <w:numPr>
          <w:ilvl w:val="4"/>
          <w:numId w:val="15"/>
        </w:numPr>
        <w:tabs>
          <w:tab w:val="left" w:pos="567"/>
          <w:tab w:val="left" w:pos="1134"/>
          <w:tab w:val="left" w:pos="1276"/>
        </w:tabs>
        <w:snapToGrid w:val="0"/>
        <w:spacing w:before="0" w:after="0" w:line="360" w:lineRule="auto"/>
        <w:ind w:left="0" w:firstLine="480" w:firstLineChars="200"/>
      </w:pPr>
      <w:r>
        <w:t>委估资产的数量、状态均由产权持有人提供。鉴于资产数量较多，评估人员结合相关资料核实后，对部分资产实施抽查</w:t>
      </w:r>
      <w:r>
        <w:rPr>
          <w:rFonts w:hint="eastAsia"/>
        </w:rPr>
        <w:t>。</w:t>
      </w:r>
    </w:p>
    <w:p w14:paraId="1FF40F4A">
      <w:pPr>
        <w:pStyle w:val="2"/>
        <w:numPr>
          <w:ilvl w:val="4"/>
          <w:numId w:val="15"/>
        </w:numPr>
        <w:tabs>
          <w:tab w:val="left" w:pos="567"/>
          <w:tab w:val="left" w:pos="1134"/>
          <w:tab w:val="left" w:pos="1276"/>
        </w:tabs>
        <w:snapToGrid w:val="0"/>
        <w:spacing w:before="0" w:after="0" w:line="360" w:lineRule="auto"/>
        <w:ind w:left="0" w:firstLine="480" w:firstLineChars="200"/>
      </w:pPr>
      <w:r>
        <w:rPr>
          <w:rFonts w:hint="eastAsia"/>
        </w:rPr>
        <w:t>本报告所称“评估价值”系指我们对所评估资产在评估基准日之状况和外部经济环境前提下，为本报告书所列明的目的而提出的市场价值意见，而不对其他用途负责。</w:t>
      </w:r>
    </w:p>
    <w:p w14:paraId="70FB5748">
      <w:pPr>
        <w:pStyle w:val="2"/>
        <w:numPr>
          <w:ilvl w:val="4"/>
          <w:numId w:val="15"/>
        </w:numPr>
        <w:tabs>
          <w:tab w:val="left" w:pos="567"/>
          <w:tab w:val="left" w:pos="1134"/>
          <w:tab w:val="left" w:pos="1276"/>
        </w:tabs>
        <w:snapToGrid w:val="0"/>
        <w:spacing w:before="0" w:after="0" w:line="360" w:lineRule="auto"/>
        <w:ind w:left="0" w:firstLine="480" w:firstLineChars="200"/>
      </w:pPr>
      <w:r>
        <w:rPr>
          <w:rFonts w:hint="eastAsia"/>
        </w:rPr>
        <w:t>报告中的评估结论是反映评估对象在本次评估目的下，根据公开市场的原则确定的市场价值，未考虑该等资产进行产权登记或权属变更过程中应承担的相关费用和税项，也未对资产评估增值额作任何纳税调整准备。评估结论不应当被认为是对评估对象可实现价格的保证。</w:t>
      </w:r>
    </w:p>
    <w:p w14:paraId="75505758">
      <w:pPr>
        <w:pStyle w:val="2"/>
        <w:numPr>
          <w:ilvl w:val="4"/>
          <w:numId w:val="15"/>
        </w:numPr>
        <w:tabs>
          <w:tab w:val="left" w:pos="567"/>
          <w:tab w:val="left" w:pos="1134"/>
          <w:tab w:val="left" w:pos="1276"/>
        </w:tabs>
        <w:snapToGrid w:val="0"/>
        <w:spacing w:before="0" w:after="0" w:line="360" w:lineRule="auto"/>
        <w:ind w:left="0" w:firstLine="480" w:firstLineChars="200"/>
      </w:pPr>
      <w:r>
        <w:rPr>
          <w:rFonts w:hint="eastAsia"/>
        </w:rPr>
        <w:t>在资产评估结果有效使用期内，如果资产数量及作价标准发生变化时，应当进行适当调整，而不能直接使用评估结论，须对评估结论进行调整或重新评估。</w:t>
      </w:r>
    </w:p>
    <w:p w14:paraId="2633C448">
      <w:pPr>
        <w:pStyle w:val="2"/>
        <w:numPr>
          <w:ilvl w:val="4"/>
          <w:numId w:val="15"/>
        </w:numPr>
        <w:tabs>
          <w:tab w:val="left" w:pos="567"/>
          <w:tab w:val="left" w:pos="1134"/>
          <w:tab w:val="left" w:pos="1276"/>
        </w:tabs>
        <w:snapToGrid w:val="0"/>
        <w:spacing w:before="0" w:after="0" w:line="360" w:lineRule="auto"/>
        <w:ind w:left="0" w:firstLine="480" w:firstLineChars="200"/>
      </w:pPr>
      <w:r>
        <w:rPr>
          <w:rFonts w:hint="eastAsia"/>
        </w:rPr>
        <w:t>引用其他机构出具的报告结论的情况：</w:t>
      </w:r>
    </w:p>
    <w:p w14:paraId="2AFDB4A1">
      <w:pPr>
        <w:pStyle w:val="2"/>
        <w:snapToGrid w:val="0"/>
        <w:spacing w:before="0" w:after="0" w:line="360" w:lineRule="auto"/>
        <w:ind w:firstLine="480" w:firstLineChars="200"/>
      </w:pPr>
      <w:r>
        <w:rPr>
          <w:rFonts w:hint="eastAsia"/>
        </w:rPr>
        <w:t>本次评估报告结论均为北京中致成国际资产评估有限公司独立完成，未引用其他机构出具的报告结论情况。</w:t>
      </w:r>
    </w:p>
    <w:p w14:paraId="62076059">
      <w:pPr>
        <w:pStyle w:val="2"/>
        <w:numPr>
          <w:ilvl w:val="4"/>
          <w:numId w:val="15"/>
        </w:numPr>
        <w:tabs>
          <w:tab w:val="left" w:pos="567"/>
          <w:tab w:val="left" w:pos="1134"/>
          <w:tab w:val="left" w:pos="1276"/>
          <w:tab w:val="left" w:pos="1560"/>
        </w:tabs>
        <w:snapToGrid w:val="0"/>
        <w:spacing w:before="0" w:after="0" w:line="360" w:lineRule="auto"/>
        <w:ind w:left="0" w:firstLine="480" w:firstLineChars="200"/>
      </w:pPr>
      <w:r>
        <w:rPr>
          <w:rFonts w:hint="eastAsia"/>
        </w:rPr>
        <w:t>评估基准日至评估报告日之间可能对评估结论产生影响的期后事项：</w:t>
      </w:r>
    </w:p>
    <w:p w14:paraId="50082AB2">
      <w:pPr>
        <w:pStyle w:val="2"/>
        <w:snapToGrid w:val="0"/>
        <w:spacing w:before="0" w:after="0" w:line="360" w:lineRule="auto"/>
        <w:ind w:firstLine="480" w:firstLineChars="200"/>
      </w:pPr>
      <w:r>
        <w:rPr>
          <w:rFonts w:hint="eastAsia"/>
        </w:rPr>
        <w:t>评估基准日至本资产评估报告出具日之间，委托人与产权持有人已明确告知不存在重大期后事项。</w:t>
      </w:r>
    </w:p>
    <w:p w14:paraId="645ACBDF">
      <w:pPr>
        <w:pStyle w:val="2"/>
        <w:numPr>
          <w:ilvl w:val="4"/>
          <w:numId w:val="15"/>
        </w:numPr>
        <w:tabs>
          <w:tab w:val="left" w:pos="567"/>
          <w:tab w:val="left" w:pos="1134"/>
          <w:tab w:val="left" w:pos="1276"/>
        </w:tabs>
        <w:snapToGrid w:val="0"/>
        <w:spacing w:before="0" w:after="0" w:line="360" w:lineRule="auto"/>
        <w:ind w:left="0" w:firstLine="480" w:firstLineChars="200"/>
      </w:pPr>
      <w:r>
        <w:rPr>
          <w:rFonts w:hint="eastAsia"/>
        </w:rPr>
        <w:t>重要的利用专家工作及相关报告情况：</w:t>
      </w:r>
    </w:p>
    <w:p w14:paraId="0A4C28B8">
      <w:pPr>
        <w:pStyle w:val="2"/>
        <w:snapToGrid w:val="0"/>
        <w:spacing w:before="0" w:after="0" w:line="360" w:lineRule="auto"/>
        <w:ind w:firstLine="480" w:firstLineChars="200"/>
      </w:pPr>
      <w:r>
        <w:rPr>
          <w:rFonts w:hint="eastAsia"/>
        </w:rPr>
        <w:t>本次评估未引用其他专家工作及其他机构报告内容。</w:t>
      </w:r>
    </w:p>
    <w:p w14:paraId="26C2D43E">
      <w:pPr>
        <w:pStyle w:val="2"/>
        <w:numPr>
          <w:ilvl w:val="4"/>
          <w:numId w:val="15"/>
        </w:numPr>
        <w:tabs>
          <w:tab w:val="left" w:pos="567"/>
          <w:tab w:val="left" w:pos="1134"/>
          <w:tab w:val="left" w:pos="1276"/>
        </w:tabs>
        <w:snapToGrid w:val="0"/>
        <w:spacing w:before="0" w:after="0" w:line="360" w:lineRule="auto"/>
        <w:ind w:left="0" w:firstLine="480" w:firstLineChars="200"/>
      </w:pPr>
      <w:r>
        <w:rPr>
          <w:rFonts w:hint="eastAsia"/>
        </w:rPr>
        <w:t>权属资料不全面或者存在瑕疵的情形：</w:t>
      </w:r>
    </w:p>
    <w:p w14:paraId="1B55073F">
      <w:pPr>
        <w:pStyle w:val="2"/>
        <w:snapToGrid w:val="0"/>
        <w:spacing w:before="0" w:after="0" w:line="360" w:lineRule="auto"/>
        <w:ind w:firstLine="480" w:firstLineChars="200"/>
      </w:pPr>
      <w:r>
        <w:rPr>
          <w:rFonts w:hint="eastAsia"/>
        </w:rPr>
        <w:t>本次评估不存在权属资料不全面或者存在瑕疵的情形。</w:t>
      </w:r>
    </w:p>
    <w:p w14:paraId="2803C29F">
      <w:pPr>
        <w:pStyle w:val="2"/>
        <w:numPr>
          <w:ilvl w:val="4"/>
          <w:numId w:val="15"/>
        </w:numPr>
        <w:tabs>
          <w:tab w:val="left" w:pos="567"/>
          <w:tab w:val="left" w:pos="1134"/>
          <w:tab w:val="left" w:pos="1276"/>
        </w:tabs>
        <w:snapToGrid w:val="0"/>
        <w:spacing w:before="0" w:after="0" w:line="360" w:lineRule="auto"/>
        <w:ind w:left="0" w:firstLine="480" w:firstLineChars="200"/>
      </w:pPr>
      <w:r>
        <w:rPr>
          <w:rFonts w:hint="eastAsia"/>
        </w:rPr>
        <w:t>资产评估程序受限情况、处理方式及其对评估结论的影响：</w:t>
      </w:r>
    </w:p>
    <w:p w14:paraId="334E1339">
      <w:pPr>
        <w:pStyle w:val="2"/>
        <w:snapToGrid w:val="0"/>
        <w:spacing w:before="0" w:after="0" w:line="360" w:lineRule="auto"/>
        <w:ind w:firstLine="480" w:firstLineChars="200"/>
      </w:pPr>
      <w:r>
        <w:rPr>
          <w:rFonts w:hint="eastAsia"/>
        </w:rPr>
        <w:t>本次评估中，资产评估师未对各类资产在评估基准日的技术参数和性能做技术检测，资产评估师在假定被评估单位提供的有关技术资料和运行记录是真实有效的前提下，通过现场调查做出判断。</w:t>
      </w:r>
    </w:p>
    <w:p w14:paraId="554433CB">
      <w:pPr>
        <w:pStyle w:val="2"/>
        <w:numPr>
          <w:ilvl w:val="4"/>
          <w:numId w:val="15"/>
        </w:numPr>
        <w:tabs>
          <w:tab w:val="left" w:pos="567"/>
          <w:tab w:val="left" w:pos="1134"/>
          <w:tab w:val="left" w:pos="1276"/>
          <w:tab w:val="left" w:pos="1560"/>
        </w:tabs>
        <w:snapToGrid w:val="0"/>
        <w:spacing w:before="0" w:after="0" w:line="360" w:lineRule="auto"/>
        <w:ind w:left="0" w:firstLine="480" w:firstLineChars="200"/>
      </w:pPr>
      <w:r>
        <w:rPr>
          <w:rFonts w:hint="eastAsia"/>
        </w:rPr>
        <w:t>本次资产评估对应的经济行为中，可能对评估结论产生重大影响的瑕疵情形：</w:t>
      </w:r>
    </w:p>
    <w:p w14:paraId="3483D487">
      <w:pPr>
        <w:pStyle w:val="2"/>
        <w:snapToGrid w:val="0"/>
        <w:spacing w:before="0" w:after="0" w:line="360" w:lineRule="auto"/>
        <w:ind w:firstLine="480" w:firstLineChars="200"/>
      </w:pPr>
      <w:r>
        <w:rPr>
          <w:rFonts w:hint="eastAsia"/>
        </w:rPr>
        <w:t>此次资产评估对应的经济行为中，我们未发现可能对评估结论产生重大影响的瑕疵事项。</w:t>
      </w:r>
    </w:p>
    <w:p w14:paraId="407D1A75">
      <w:pPr>
        <w:pStyle w:val="2"/>
        <w:snapToGrid w:val="0"/>
        <w:spacing w:before="0" w:after="0" w:line="240" w:lineRule="auto"/>
        <w:ind w:firstLine="360" w:firstLineChars="200"/>
        <w:jc w:val="right"/>
        <w:rPr>
          <w:sz w:val="18"/>
          <w:szCs w:val="18"/>
          <w:lang w:val="zh-CN"/>
        </w:rPr>
      </w:pPr>
    </w:p>
    <w:p w14:paraId="1A6CC50F">
      <w:pPr>
        <w:pStyle w:val="2"/>
        <w:numPr>
          <w:ilvl w:val="4"/>
          <w:numId w:val="15"/>
        </w:numPr>
        <w:tabs>
          <w:tab w:val="left" w:pos="567"/>
          <w:tab w:val="left" w:pos="1134"/>
          <w:tab w:val="left" w:pos="1276"/>
          <w:tab w:val="left" w:pos="1560"/>
        </w:tabs>
        <w:snapToGrid w:val="0"/>
        <w:spacing w:before="0" w:after="0" w:line="360" w:lineRule="auto"/>
        <w:ind w:left="0" w:firstLine="480" w:firstLineChars="200"/>
      </w:pPr>
      <w:r>
        <w:rPr>
          <w:rFonts w:hint="eastAsia"/>
        </w:rPr>
        <w:t>其他需要说明的事项</w:t>
      </w:r>
    </w:p>
    <w:p w14:paraId="59D0A006">
      <w:pPr>
        <w:pStyle w:val="2"/>
        <w:numPr>
          <w:ilvl w:val="0"/>
          <w:numId w:val="16"/>
        </w:numPr>
        <w:snapToGrid w:val="0"/>
        <w:spacing w:before="0" w:after="0" w:line="360" w:lineRule="auto"/>
        <w:ind w:left="0" w:firstLine="480" w:firstLineChars="200"/>
      </w:pPr>
      <w:r>
        <w:rPr>
          <w:rFonts w:hint="eastAsia"/>
        </w:rPr>
        <w:t>本资产评估报告中，所有以万元为金额单位的表格或者文字表述，如存在总计数与各分项数值之和出现尾差，均为四舍五入原因造成。</w:t>
      </w:r>
    </w:p>
    <w:p w14:paraId="3397DC46">
      <w:pPr>
        <w:pStyle w:val="2"/>
        <w:numPr>
          <w:ilvl w:val="0"/>
          <w:numId w:val="16"/>
        </w:numPr>
        <w:snapToGrid w:val="0"/>
        <w:spacing w:before="0" w:after="0" w:line="360" w:lineRule="auto"/>
        <w:ind w:left="0" w:firstLine="480" w:firstLineChars="200"/>
      </w:pPr>
      <w:r>
        <w:rPr>
          <w:rFonts w:hint="eastAsia"/>
        </w:rPr>
        <w:t>委托人和相关当事人未及时向评估人员说明对本评估结论可能产生影响的瑕疵事项，而评估人员履行了必要的评估程序无法正常获悉的情况下，评估机构及评估人员不承担相关责任。</w:t>
      </w:r>
    </w:p>
    <w:p w14:paraId="63EA37F4">
      <w:pPr>
        <w:pStyle w:val="2"/>
        <w:snapToGrid w:val="0"/>
        <w:spacing w:line="360" w:lineRule="auto"/>
        <w:ind w:firstLine="480" w:firstLineChars="200"/>
      </w:pPr>
      <w:r>
        <w:rPr>
          <w:rFonts w:hint="eastAsia"/>
        </w:rPr>
        <w:t>评估结论是北京中致成国际资产评估有限公司出具的，受本机构资产评估专业人员的执业水平和能力的影响。</w:t>
      </w:r>
    </w:p>
    <w:p w14:paraId="2B717345">
      <w:pPr>
        <w:pStyle w:val="2"/>
        <w:snapToGrid w:val="0"/>
        <w:spacing w:before="0" w:after="0" w:line="360" w:lineRule="auto"/>
        <w:ind w:firstLine="480" w:firstLineChars="200"/>
      </w:pPr>
      <w:r>
        <w:rPr>
          <w:rFonts w:hint="eastAsia"/>
        </w:rPr>
        <w:t>资产评估报告使用人应注意以上的特别事项对评估结论所产生的影响。</w:t>
      </w:r>
    </w:p>
    <w:p w14:paraId="3A5FD98F">
      <w:pPr>
        <w:pStyle w:val="4"/>
        <w:spacing w:before="60" w:after="60" w:line="360" w:lineRule="auto"/>
        <w:ind w:firstLine="562" w:firstLineChars="200"/>
        <w:rPr>
          <w:rFonts w:ascii="Times New Roman" w:hAnsi="Times New Roman" w:eastAsia="宋体"/>
          <w:sz w:val="28"/>
        </w:rPr>
      </w:pPr>
      <w:bookmarkStart w:id="79" w:name="_Toc112232555"/>
      <w:r>
        <w:rPr>
          <w:rFonts w:hint="eastAsia" w:ascii="Times New Roman" w:hAnsi="Times New Roman" w:eastAsia="宋体"/>
          <w:sz w:val="28"/>
        </w:rPr>
        <w:t>十二、资产评估报告的使用限制说明</w:t>
      </w:r>
      <w:bookmarkEnd w:id="79"/>
    </w:p>
    <w:p w14:paraId="0A2A2555">
      <w:pPr>
        <w:pStyle w:val="2"/>
        <w:numPr>
          <w:ilvl w:val="0"/>
          <w:numId w:val="17"/>
        </w:numPr>
        <w:tabs>
          <w:tab w:val="left" w:pos="1134"/>
        </w:tabs>
        <w:snapToGrid w:val="0"/>
        <w:spacing w:before="0" w:after="0" w:line="360" w:lineRule="auto"/>
        <w:ind w:left="0" w:firstLine="480" w:firstLineChars="200"/>
      </w:pPr>
      <w:r>
        <w:rPr>
          <w:rFonts w:hint="eastAsia"/>
        </w:rPr>
        <w:t>本评估报告只能用于评估报告载明的评估目的和用途；</w:t>
      </w:r>
    </w:p>
    <w:p w14:paraId="0DE6F451">
      <w:pPr>
        <w:pStyle w:val="2"/>
        <w:numPr>
          <w:ilvl w:val="0"/>
          <w:numId w:val="17"/>
        </w:numPr>
        <w:tabs>
          <w:tab w:val="left" w:pos="1134"/>
        </w:tabs>
        <w:snapToGrid w:val="0"/>
        <w:spacing w:before="0" w:after="0" w:line="360" w:lineRule="auto"/>
        <w:ind w:left="0" w:firstLine="480" w:firstLineChars="200"/>
      </w:pPr>
      <w:r>
        <w:rPr>
          <w:rFonts w:hint="eastAsia"/>
        </w:rPr>
        <w:t>委托人或者其他资产评估报告使用人未按照法律、行政法规规定和资产评估报告载明的使用范围使用资产评估报告的，资产评估机构及其资产评估师不承担责任；</w:t>
      </w:r>
      <w:r>
        <w:t xml:space="preserve"> </w:t>
      </w:r>
    </w:p>
    <w:p w14:paraId="70377102">
      <w:pPr>
        <w:pStyle w:val="2"/>
        <w:numPr>
          <w:ilvl w:val="0"/>
          <w:numId w:val="17"/>
        </w:numPr>
        <w:tabs>
          <w:tab w:val="left" w:pos="1134"/>
        </w:tabs>
        <w:snapToGrid w:val="0"/>
        <w:spacing w:before="0" w:after="0" w:line="360" w:lineRule="auto"/>
        <w:ind w:left="0" w:firstLine="480" w:firstLineChars="200"/>
      </w:pPr>
      <w:r>
        <w:rPr>
          <w:rFonts w:hint="eastAsia"/>
        </w:rPr>
        <w:t>除委托人、资产评估委托合同中约定的其他资产评估报告使用人和法律、行政法规规定的资产评估报告使用人之外，其他任何机构和个人不能成为资产评估报告的使用人；</w:t>
      </w:r>
      <w:r>
        <w:t xml:space="preserve"> </w:t>
      </w:r>
    </w:p>
    <w:p w14:paraId="19F752AA">
      <w:pPr>
        <w:pStyle w:val="2"/>
        <w:numPr>
          <w:ilvl w:val="0"/>
          <w:numId w:val="17"/>
        </w:numPr>
        <w:tabs>
          <w:tab w:val="left" w:pos="1134"/>
        </w:tabs>
        <w:snapToGrid w:val="0"/>
        <w:spacing w:before="0" w:after="0" w:line="360" w:lineRule="auto"/>
        <w:ind w:left="0" w:firstLine="480" w:firstLineChars="200"/>
      </w:pPr>
      <w:r>
        <w:rPr>
          <w:rFonts w:hint="eastAsia"/>
        </w:rPr>
        <w:t>资产评估报告使用人应当正确理解评估结论，评估结论不等同于评估对象可实现价格，评估结论不应当被认为是对评估对象可实现价格的保证；</w:t>
      </w:r>
    </w:p>
    <w:p w14:paraId="402AFDD4">
      <w:pPr>
        <w:pStyle w:val="2"/>
        <w:numPr>
          <w:ilvl w:val="0"/>
          <w:numId w:val="17"/>
        </w:numPr>
        <w:tabs>
          <w:tab w:val="left" w:pos="1134"/>
        </w:tabs>
        <w:snapToGrid w:val="0"/>
        <w:spacing w:before="0" w:after="0" w:line="360" w:lineRule="auto"/>
        <w:ind w:left="0" w:firstLine="480" w:firstLineChars="200"/>
      </w:pPr>
      <w:r>
        <w:rPr>
          <w:rFonts w:hint="eastAsia"/>
        </w:rPr>
        <w:t>资产评估报告是指资产评估机构及其资产评估专业人员遵守法律、行政法规和资产评估准则要求，根据委托履行必要的评估程序后，由资产评估机构对评估对象在评估基准日特定目的下的价值出具的专业报告。本报告经承办该评估业务的资产评估师签名并加盖评估机构公章，经国有资产监督管理机构或所出资企业备案后方可正式使用。</w:t>
      </w:r>
    </w:p>
    <w:p w14:paraId="4C587F16">
      <w:pPr>
        <w:pStyle w:val="2"/>
        <w:numPr>
          <w:ilvl w:val="0"/>
          <w:numId w:val="17"/>
        </w:numPr>
        <w:tabs>
          <w:tab w:val="left" w:pos="1134"/>
        </w:tabs>
        <w:snapToGrid w:val="0"/>
        <w:spacing w:line="360" w:lineRule="auto"/>
        <w:ind w:left="0" w:firstLine="480" w:firstLineChars="200"/>
      </w:pPr>
      <w:r>
        <w:rPr>
          <w:rFonts w:hint="eastAsia"/>
        </w:rPr>
        <w:t>本资产评估报告的全部或者部分内容被摘抄、引用或者披露于公开媒体，需经本评估机构审阅相关内容后，并征得本评估机构、签字评估师书面同意。法律、法规规定以及相关当事人另有约定的除外。未征得资产评估机构同意，资产评估报告的内容不得被摘抄、引用或者披露于公开媒体，法律、行政法规规定以及相关当事人另有约定的除外。</w:t>
      </w:r>
    </w:p>
    <w:p w14:paraId="7A105D5C">
      <w:pPr>
        <w:pStyle w:val="2"/>
        <w:numPr>
          <w:ilvl w:val="0"/>
          <w:numId w:val="17"/>
        </w:numPr>
        <w:tabs>
          <w:tab w:val="left" w:pos="1134"/>
        </w:tabs>
        <w:snapToGrid w:val="0"/>
        <w:spacing w:before="0" w:after="0" w:line="360" w:lineRule="auto"/>
        <w:ind w:left="0" w:firstLine="480" w:firstLineChars="200"/>
      </w:pPr>
      <w:r>
        <w:rPr>
          <w:rFonts w:hint="eastAsia"/>
        </w:rPr>
        <w:t>本评估报告所揭示的评估结论仅对本项目对应的经济行为有效，资产评估结果使用有效期为自评估基准日起一年，即评估基准日2025年7月31日至</w:t>
      </w:r>
      <w:r>
        <w:t>202</w:t>
      </w:r>
      <w:r>
        <w:rPr>
          <w:rFonts w:hint="eastAsia"/>
        </w:rPr>
        <w:t>6年7月30日止。当评估目的在有效期内实现时，要以评估结论作为价值的参考依据（还需结合评估基准日的期后事项的调整）。超过一年，需重新进行资产评估。</w:t>
      </w:r>
    </w:p>
    <w:bookmarkEnd w:id="77"/>
    <w:bookmarkEnd w:id="78"/>
    <w:p w14:paraId="60DA819D">
      <w:pPr>
        <w:pStyle w:val="4"/>
        <w:spacing w:before="60" w:after="60" w:line="360" w:lineRule="auto"/>
        <w:ind w:firstLine="562" w:firstLineChars="200"/>
        <w:rPr>
          <w:rFonts w:ascii="Times New Roman" w:hAnsi="Times New Roman" w:eastAsia="宋体"/>
          <w:sz w:val="28"/>
        </w:rPr>
      </w:pPr>
      <w:bookmarkStart w:id="80" w:name="_Toc112232556"/>
      <w:r>
        <w:rPr>
          <w:rFonts w:hint="eastAsia" w:ascii="Times New Roman" w:hAnsi="Times New Roman" w:eastAsia="宋体"/>
          <w:sz w:val="28"/>
        </w:rPr>
        <w:t>十三、资产评估报告日</w:t>
      </w:r>
      <w:bookmarkEnd w:id="80"/>
    </w:p>
    <w:p w14:paraId="39AB5328">
      <w:pPr>
        <w:pStyle w:val="2"/>
        <w:snapToGrid w:val="0"/>
        <w:spacing w:before="0" w:after="0" w:line="360" w:lineRule="auto"/>
        <w:ind w:firstLine="480" w:firstLineChars="200"/>
      </w:pPr>
      <w:r>
        <w:rPr>
          <w:rFonts w:hint="eastAsia"/>
        </w:rPr>
        <w:t>资产评估报告日为</w:t>
      </w:r>
      <w:r>
        <w:t>202</w:t>
      </w:r>
      <w:r>
        <w:rPr>
          <w:rFonts w:hint="eastAsia"/>
        </w:rPr>
        <w:t>5年11月4日。</w:t>
      </w:r>
      <w:r>
        <w:br w:type="page"/>
      </w:r>
    </w:p>
    <w:p w14:paraId="7CA1E751">
      <w:pPr>
        <w:pStyle w:val="4"/>
        <w:spacing w:before="60" w:after="60" w:line="360" w:lineRule="auto"/>
        <w:ind w:firstLine="562" w:firstLineChars="200"/>
        <w:rPr>
          <w:rFonts w:ascii="Times New Roman" w:hAnsi="Times New Roman" w:eastAsia="宋体"/>
          <w:sz w:val="28"/>
        </w:rPr>
      </w:pPr>
      <w:bookmarkStart w:id="81" w:name="_Toc112232557"/>
      <w:r>
        <w:rPr>
          <w:rFonts w:hint="eastAsia" w:ascii="Times New Roman" w:hAnsi="Times New Roman" w:eastAsia="宋体"/>
          <w:sz w:val="28"/>
        </w:rPr>
        <w:t>十四、签名盖章</w:t>
      </w:r>
      <w:bookmarkEnd w:id="81"/>
    </w:p>
    <w:p w14:paraId="6A33FAB2">
      <w:pPr>
        <w:adjustRightInd w:val="0"/>
        <w:snapToGrid w:val="0"/>
        <w:spacing w:line="360" w:lineRule="auto"/>
        <w:ind w:firstLine="618" w:firstLineChars="200"/>
        <w:rPr>
          <w:b/>
          <w:spacing w:val="14"/>
          <w:sz w:val="28"/>
        </w:rPr>
      </w:pPr>
    </w:p>
    <w:p w14:paraId="67256AA2">
      <w:pPr>
        <w:adjustRightInd w:val="0"/>
        <w:snapToGrid w:val="0"/>
        <w:spacing w:line="360" w:lineRule="auto"/>
        <w:ind w:firstLine="618" w:firstLineChars="200"/>
        <w:rPr>
          <w:b/>
          <w:spacing w:val="14"/>
          <w:sz w:val="28"/>
        </w:rPr>
      </w:pPr>
      <w:r>
        <w:rPr>
          <w:rFonts w:hint="eastAsia"/>
          <w:b/>
          <w:spacing w:val="14"/>
          <w:sz w:val="28"/>
        </w:rPr>
        <w:t>（本页无正文）</w:t>
      </w:r>
    </w:p>
    <w:p w14:paraId="2178BF3E">
      <w:pPr>
        <w:adjustRightInd w:val="0"/>
        <w:snapToGrid w:val="0"/>
        <w:spacing w:line="360" w:lineRule="auto"/>
        <w:ind w:firstLine="618" w:firstLineChars="200"/>
        <w:rPr>
          <w:b/>
          <w:spacing w:val="14"/>
          <w:sz w:val="28"/>
        </w:rPr>
      </w:pPr>
    </w:p>
    <w:p w14:paraId="304D60B3">
      <w:pPr>
        <w:spacing w:line="360" w:lineRule="auto"/>
        <w:ind w:firstLine="618" w:firstLineChars="200"/>
        <w:rPr>
          <w:spacing w:val="14"/>
          <w:sz w:val="28"/>
        </w:rPr>
      </w:pPr>
      <w:r>
        <w:rPr>
          <w:rFonts w:hint="eastAsia"/>
          <w:b/>
          <w:spacing w:val="14"/>
          <w:sz w:val="28"/>
        </w:rPr>
        <w:t>资产评估机构：北京中致成国际资产评估有限公司</w:t>
      </w:r>
      <w:r>
        <w:rPr>
          <w:b/>
          <w:spacing w:val="14"/>
          <w:sz w:val="28"/>
        </w:rPr>
        <w:t xml:space="preserve"> </w:t>
      </w:r>
      <w:r>
        <w:t xml:space="preserve"> </w:t>
      </w:r>
    </w:p>
    <w:p w14:paraId="23838F31">
      <w:pPr>
        <w:spacing w:line="360" w:lineRule="auto"/>
        <w:ind w:firstLine="616" w:firstLineChars="200"/>
        <w:rPr>
          <w:spacing w:val="14"/>
          <w:sz w:val="28"/>
        </w:rPr>
      </w:pPr>
    </w:p>
    <w:p w14:paraId="09190E51">
      <w:pPr>
        <w:spacing w:line="360" w:lineRule="auto"/>
        <w:ind w:firstLine="616" w:firstLineChars="200"/>
        <w:rPr>
          <w:spacing w:val="14"/>
          <w:sz w:val="28"/>
        </w:rPr>
      </w:pPr>
    </w:p>
    <w:p w14:paraId="2146DFCB">
      <w:pPr>
        <w:spacing w:line="360" w:lineRule="auto"/>
        <w:ind w:firstLine="616" w:firstLineChars="200"/>
        <w:rPr>
          <w:spacing w:val="14"/>
          <w:sz w:val="28"/>
        </w:rPr>
      </w:pPr>
    </w:p>
    <w:p w14:paraId="37042239">
      <w:pPr>
        <w:spacing w:line="360" w:lineRule="auto"/>
        <w:ind w:firstLine="618" w:firstLineChars="200"/>
        <w:rPr>
          <w:b/>
          <w:spacing w:val="14"/>
          <w:sz w:val="28"/>
        </w:rPr>
      </w:pPr>
      <w:r>
        <w:rPr>
          <w:rFonts w:hint="eastAsia"/>
          <w:b/>
          <w:spacing w:val="14"/>
          <w:sz w:val="28"/>
        </w:rPr>
        <w:t>法</w:t>
      </w:r>
      <w:r>
        <w:rPr>
          <w:b/>
          <w:spacing w:val="14"/>
          <w:sz w:val="28"/>
        </w:rPr>
        <w:t xml:space="preserve"> </w:t>
      </w:r>
      <w:r>
        <w:rPr>
          <w:rFonts w:hint="eastAsia"/>
          <w:b/>
          <w:spacing w:val="14"/>
          <w:sz w:val="28"/>
        </w:rPr>
        <w:t>定</w:t>
      </w:r>
      <w:r>
        <w:rPr>
          <w:b/>
          <w:spacing w:val="14"/>
          <w:sz w:val="28"/>
        </w:rPr>
        <w:t xml:space="preserve"> </w:t>
      </w:r>
      <w:r>
        <w:rPr>
          <w:rFonts w:hint="eastAsia"/>
          <w:b/>
          <w:spacing w:val="14"/>
          <w:sz w:val="28"/>
        </w:rPr>
        <w:t>代</w:t>
      </w:r>
      <w:r>
        <w:rPr>
          <w:b/>
          <w:spacing w:val="14"/>
          <w:sz w:val="28"/>
        </w:rPr>
        <w:t xml:space="preserve"> </w:t>
      </w:r>
      <w:r>
        <w:rPr>
          <w:rFonts w:hint="eastAsia"/>
          <w:b/>
          <w:spacing w:val="14"/>
          <w:sz w:val="28"/>
        </w:rPr>
        <w:t>表</w:t>
      </w:r>
      <w:r>
        <w:rPr>
          <w:b/>
          <w:spacing w:val="14"/>
          <w:sz w:val="28"/>
        </w:rPr>
        <w:t xml:space="preserve"> </w:t>
      </w:r>
      <w:r>
        <w:rPr>
          <w:rFonts w:hint="eastAsia"/>
          <w:b/>
          <w:spacing w:val="14"/>
          <w:sz w:val="28"/>
        </w:rPr>
        <w:t>人：</w:t>
      </w:r>
      <w:r>
        <w:rPr>
          <w:b/>
          <w:spacing w:val="14"/>
          <w:sz w:val="28"/>
        </w:rPr>
        <w:t xml:space="preserve"> </w:t>
      </w:r>
    </w:p>
    <w:p w14:paraId="34A1B661">
      <w:pPr>
        <w:spacing w:line="360" w:lineRule="auto"/>
        <w:ind w:firstLine="618" w:firstLineChars="200"/>
        <w:rPr>
          <w:b/>
          <w:spacing w:val="14"/>
          <w:sz w:val="28"/>
        </w:rPr>
      </w:pPr>
    </w:p>
    <w:p w14:paraId="3ADE80A1">
      <w:pPr>
        <w:spacing w:line="360" w:lineRule="auto"/>
        <w:ind w:firstLine="618" w:firstLineChars="200"/>
        <w:rPr>
          <w:b/>
          <w:spacing w:val="14"/>
          <w:sz w:val="28"/>
        </w:rPr>
      </w:pPr>
    </w:p>
    <w:p w14:paraId="04F96EB8">
      <w:pPr>
        <w:spacing w:line="360" w:lineRule="auto"/>
        <w:ind w:firstLine="618" w:firstLineChars="200"/>
        <w:rPr>
          <w:b/>
          <w:spacing w:val="14"/>
          <w:sz w:val="28"/>
        </w:rPr>
      </w:pPr>
    </w:p>
    <w:p w14:paraId="70192E3B">
      <w:pPr>
        <w:spacing w:line="360" w:lineRule="auto"/>
        <w:ind w:firstLine="618" w:firstLineChars="200"/>
        <w:rPr>
          <w:b/>
          <w:spacing w:val="14"/>
          <w:sz w:val="28"/>
        </w:rPr>
      </w:pPr>
      <w:r>
        <w:rPr>
          <w:rFonts w:hint="eastAsia"/>
          <w:b/>
          <w:spacing w:val="14"/>
          <w:sz w:val="28"/>
        </w:rPr>
        <w:t>资产评估师：</w:t>
      </w:r>
      <w:r>
        <w:rPr>
          <w:rFonts w:hint="eastAsia"/>
          <w:b/>
          <w:spacing w:val="14"/>
          <w:sz w:val="28"/>
          <w:u w:val="single"/>
        </w:rPr>
        <w:t>李文灿</w:t>
      </w:r>
      <w:r>
        <w:rPr>
          <w:b/>
          <w:spacing w:val="14"/>
          <w:sz w:val="28"/>
          <w:u w:val="single"/>
        </w:rPr>
        <w:t xml:space="preserve">       </w:t>
      </w:r>
    </w:p>
    <w:p w14:paraId="110F7FC7">
      <w:pPr>
        <w:spacing w:line="360" w:lineRule="auto"/>
        <w:ind w:firstLine="618" w:firstLineChars="200"/>
        <w:rPr>
          <w:b/>
          <w:spacing w:val="14"/>
          <w:sz w:val="28"/>
        </w:rPr>
      </w:pPr>
    </w:p>
    <w:p w14:paraId="1AA5AFF7">
      <w:pPr>
        <w:spacing w:line="360" w:lineRule="auto"/>
        <w:ind w:firstLine="618" w:firstLineChars="200"/>
        <w:rPr>
          <w:b/>
          <w:spacing w:val="14"/>
          <w:sz w:val="28"/>
        </w:rPr>
      </w:pPr>
    </w:p>
    <w:p w14:paraId="615C52D2">
      <w:pPr>
        <w:pStyle w:val="2"/>
      </w:pPr>
    </w:p>
    <w:p w14:paraId="2DE2360E">
      <w:pPr>
        <w:spacing w:line="360" w:lineRule="auto"/>
        <w:ind w:firstLine="618" w:firstLineChars="200"/>
        <w:rPr>
          <w:b/>
          <w:spacing w:val="14"/>
          <w:sz w:val="28"/>
        </w:rPr>
      </w:pPr>
    </w:p>
    <w:p w14:paraId="5A4082E9">
      <w:pPr>
        <w:spacing w:line="360" w:lineRule="auto"/>
        <w:ind w:firstLine="618" w:firstLineChars="200"/>
        <w:rPr>
          <w:b/>
          <w:spacing w:val="14"/>
          <w:sz w:val="28"/>
        </w:rPr>
      </w:pPr>
      <w:r>
        <w:rPr>
          <w:rFonts w:hint="eastAsia"/>
          <w:b/>
          <w:spacing w:val="14"/>
          <w:sz w:val="28"/>
        </w:rPr>
        <w:t>资产评估师：</w:t>
      </w:r>
      <w:r>
        <w:rPr>
          <w:rFonts w:hint="eastAsia"/>
          <w:b/>
          <w:spacing w:val="14"/>
          <w:sz w:val="28"/>
          <w:u w:val="single"/>
        </w:rPr>
        <w:t>刘兴君</w:t>
      </w:r>
      <w:r>
        <w:rPr>
          <w:b/>
          <w:spacing w:val="14"/>
          <w:sz w:val="28"/>
          <w:u w:val="single"/>
        </w:rPr>
        <w:t xml:space="preserve">        </w:t>
      </w:r>
    </w:p>
    <w:p w14:paraId="77EB1DF3">
      <w:pPr>
        <w:spacing w:line="360" w:lineRule="auto"/>
        <w:ind w:firstLine="616" w:firstLineChars="200"/>
        <w:rPr>
          <w:spacing w:val="14"/>
          <w:sz w:val="28"/>
        </w:rPr>
      </w:pPr>
    </w:p>
    <w:p w14:paraId="11E8F668">
      <w:pPr>
        <w:spacing w:line="360" w:lineRule="auto"/>
        <w:ind w:firstLine="616" w:firstLineChars="200"/>
        <w:rPr>
          <w:spacing w:val="14"/>
          <w:sz w:val="28"/>
        </w:rPr>
      </w:pPr>
    </w:p>
    <w:p w14:paraId="3141A276">
      <w:pPr>
        <w:spacing w:line="360" w:lineRule="auto"/>
        <w:ind w:firstLine="616" w:firstLineChars="200"/>
        <w:rPr>
          <w:spacing w:val="14"/>
          <w:sz w:val="28"/>
        </w:rPr>
      </w:pPr>
    </w:p>
    <w:p w14:paraId="3E0268ED">
      <w:pPr>
        <w:spacing w:before="60" w:after="60"/>
        <w:jc w:val="right"/>
        <w:rPr>
          <w:b/>
          <w:spacing w:val="14"/>
          <w:sz w:val="28"/>
        </w:rPr>
      </w:pPr>
      <w:bookmarkStart w:id="82" w:name="_Toc334347482"/>
      <w:r>
        <w:rPr>
          <w:b/>
          <w:spacing w:val="14"/>
          <w:sz w:val="28"/>
        </w:rPr>
        <w:t>202</w:t>
      </w:r>
      <w:r>
        <w:rPr>
          <w:rFonts w:hint="eastAsia"/>
          <w:b/>
          <w:spacing w:val="14"/>
          <w:sz w:val="28"/>
        </w:rPr>
        <w:t>5年11月4日</w:t>
      </w:r>
    </w:p>
    <w:p w14:paraId="7D8020B0">
      <w:pPr>
        <w:spacing w:before="60" w:after="60"/>
        <w:jc w:val="center"/>
        <w:rPr>
          <w:b/>
          <w:spacing w:val="14"/>
          <w:sz w:val="28"/>
        </w:rPr>
      </w:pPr>
      <w:r>
        <w:rPr>
          <w:b/>
          <w:spacing w:val="14"/>
          <w:sz w:val="28"/>
        </w:rPr>
        <w:br w:type="page"/>
      </w:r>
      <w:bookmarkStart w:id="83" w:name="_Toc112232558"/>
    </w:p>
    <w:p w14:paraId="377302EA">
      <w:pPr>
        <w:spacing w:before="60" w:after="60"/>
        <w:jc w:val="center"/>
        <w:rPr>
          <w:b/>
          <w:spacing w:val="14"/>
          <w:sz w:val="28"/>
        </w:rPr>
      </w:pPr>
    </w:p>
    <w:p w14:paraId="524391F7">
      <w:pPr>
        <w:spacing w:before="60" w:after="60"/>
        <w:jc w:val="center"/>
        <w:rPr>
          <w:spacing w:val="20"/>
          <w:sz w:val="36"/>
          <w:szCs w:val="36"/>
        </w:rPr>
      </w:pPr>
      <w:r>
        <w:rPr>
          <w:rStyle w:val="53"/>
          <w:rFonts w:hint="eastAsia" w:eastAsia="宋体"/>
          <w:szCs w:val="36"/>
        </w:rPr>
        <w:t>资产评估报告附件</w:t>
      </w:r>
      <w:bookmarkEnd w:id="82"/>
      <w:bookmarkEnd w:id="83"/>
    </w:p>
    <w:p w14:paraId="05438B19">
      <w:pPr>
        <w:adjustRightInd w:val="0"/>
        <w:snapToGrid w:val="0"/>
        <w:spacing w:line="360" w:lineRule="auto"/>
        <w:ind w:firstLine="480" w:firstLineChars="200"/>
        <w:jc w:val="left"/>
        <w:rPr>
          <w:szCs w:val="24"/>
        </w:rPr>
      </w:pPr>
    </w:p>
    <w:p w14:paraId="0B3BF3CF">
      <w:pPr>
        <w:numPr>
          <w:ilvl w:val="3"/>
          <w:numId w:val="18"/>
        </w:numPr>
        <w:tabs>
          <w:tab w:val="left" w:pos="0"/>
        </w:tabs>
        <w:adjustRightInd w:val="0"/>
        <w:snapToGrid w:val="0"/>
        <w:spacing w:line="360" w:lineRule="auto"/>
        <w:ind w:left="0" w:firstLine="426"/>
        <w:jc w:val="left"/>
        <w:rPr>
          <w:szCs w:val="24"/>
        </w:rPr>
      </w:pPr>
      <w:r>
        <w:rPr>
          <w:rFonts w:hint="eastAsia"/>
          <w:szCs w:val="24"/>
        </w:rPr>
        <w:t>资产评估结果汇总表及明细表</w:t>
      </w:r>
      <w:r>
        <w:rPr>
          <w:szCs w:val="24"/>
        </w:rPr>
        <w:t xml:space="preserve"> </w:t>
      </w:r>
    </w:p>
    <w:p w14:paraId="160508BF">
      <w:pPr>
        <w:numPr>
          <w:ilvl w:val="3"/>
          <w:numId w:val="18"/>
        </w:numPr>
        <w:tabs>
          <w:tab w:val="left" w:pos="0"/>
        </w:tabs>
        <w:adjustRightInd w:val="0"/>
        <w:snapToGrid w:val="0"/>
        <w:spacing w:line="360" w:lineRule="auto"/>
        <w:ind w:left="0" w:firstLine="426"/>
        <w:jc w:val="left"/>
        <w:rPr>
          <w:szCs w:val="24"/>
        </w:rPr>
      </w:pPr>
      <w:r>
        <w:rPr>
          <w:rFonts w:hint="eastAsia"/>
          <w:szCs w:val="24"/>
        </w:rPr>
        <w:t>与评估目的相对应的经济行为文件（复印件）</w:t>
      </w:r>
    </w:p>
    <w:p w14:paraId="5A2D31DF">
      <w:pPr>
        <w:numPr>
          <w:ilvl w:val="3"/>
          <w:numId w:val="18"/>
        </w:numPr>
        <w:tabs>
          <w:tab w:val="left" w:pos="0"/>
        </w:tabs>
        <w:adjustRightInd w:val="0"/>
        <w:snapToGrid w:val="0"/>
        <w:spacing w:line="360" w:lineRule="auto"/>
        <w:ind w:left="0" w:firstLine="426"/>
        <w:jc w:val="left"/>
        <w:rPr>
          <w:szCs w:val="24"/>
        </w:rPr>
      </w:pPr>
      <w:r>
        <w:rPr>
          <w:rFonts w:hint="eastAsia"/>
          <w:szCs w:val="24"/>
        </w:rPr>
        <w:t>委托人和产权持有人法人营业执照副本（复印件）</w:t>
      </w:r>
    </w:p>
    <w:p w14:paraId="12DF117B">
      <w:pPr>
        <w:numPr>
          <w:ilvl w:val="3"/>
          <w:numId w:val="18"/>
        </w:numPr>
        <w:tabs>
          <w:tab w:val="left" w:pos="0"/>
        </w:tabs>
        <w:adjustRightInd w:val="0"/>
        <w:snapToGrid w:val="0"/>
        <w:spacing w:line="360" w:lineRule="auto"/>
        <w:ind w:left="0" w:firstLine="426"/>
        <w:jc w:val="left"/>
        <w:rPr>
          <w:szCs w:val="24"/>
        </w:rPr>
      </w:pPr>
      <w:r>
        <w:rPr>
          <w:rFonts w:hint="eastAsia"/>
          <w:szCs w:val="24"/>
        </w:rPr>
        <w:t>评估对象涉及的主要权属证明资料（复印件）</w:t>
      </w:r>
    </w:p>
    <w:p w14:paraId="12AE4A84">
      <w:pPr>
        <w:numPr>
          <w:ilvl w:val="3"/>
          <w:numId w:val="18"/>
        </w:numPr>
        <w:tabs>
          <w:tab w:val="left" w:pos="0"/>
        </w:tabs>
        <w:adjustRightInd w:val="0"/>
        <w:snapToGrid w:val="0"/>
        <w:spacing w:line="360" w:lineRule="auto"/>
        <w:ind w:left="0" w:firstLine="426"/>
        <w:jc w:val="left"/>
        <w:rPr>
          <w:szCs w:val="24"/>
        </w:rPr>
      </w:pPr>
      <w:r>
        <w:rPr>
          <w:rFonts w:hint="eastAsia"/>
          <w:szCs w:val="24"/>
        </w:rPr>
        <w:t>委托人暨产权持有人承诺函</w:t>
      </w:r>
    </w:p>
    <w:p w14:paraId="436D7196">
      <w:pPr>
        <w:numPr>
          <w:ilvl w:val="3"/>
          <w:numId w:val="18"/>
        </w:numPr>
        <w:tabs>
          <w:tab w:val="left" w:pos="0"/>
        </w:tabs>
        <w:adjustRightInd w:val="0"/>
        <w:snapToGrid w:val="0"/>
        <w:spacing w:line="360" w:lineRule="auto"/>
        <w:ind w:left="0" w:firstLine="426"/>
        <w:jc w:val="left"/>
        <w:rPr>
          <w:szCs w:val="24"/>
        </w:rPr>
      </w:pPr>
      <w:r>
        <w:rPr>
          <w:rFonts w:hint="eastAsia"/>
          <w:szCs w:val="24"/>
        </w:rPr>
        <w:t>签字资产评估师承诺函</w:t>
      </w:r>
    </w:p>
    <w:p w14:paraId="58AB53D8">
      <w:pPr>
        <w:numPr>
          <w:ilvl w:val="3"/>
          <w:numId w:val="18"/>
        </w:numPr>
        <w:tabs>
          <w:tab w:val="left" w:pos="0"/>
        </w:tabs>
        <w:adjustRightInd w:val="0"/>
        <w:snapToGrid w:val="0"/>
        <w:spacing w:line="360" w:lineRule="auto"/>
        <w:ind w:left="0" w:firstLine="426"/>
        <w:jc w:val="left"/>
        <w:rPr>
          <w:szCs w:val="24"/>
        </w:rPr>
      </w:pPr>
      <w:r>
        <w:rPr>
          <w:rFonts w:hint="eastAsia"/>
          <w:szCs w:val="24"/>
        </w:rPr>
        <w:t>资产评估机构备案文件或者资格证明文件（复印件）</w:t>
      </w:r>
    </w:p>
    <w:p w14:paraId="3FBC62D4">
      <w:pPr>
        <w:numPr>
          <w:ilvl w:val="3"/>
          <w:numId w:val="18"/>
        </w:numPr>
        <w:tabs>
          <w:tab w:val="left" w:pos="0"/>
        </w:tabs>
        <w:adjustRightInd w:val="0"/>
        <w:snapToGrid w:val="0"/>
        <w:spacing w:line="360" w:lineRule="auto"/>
        <w:ind w:left="0" w:firstLine="426"/>
        <w:jc w:val="left"/>
        <w:rPr>
          <w:szCs w:val="24"/>
        </w:rPr>
      </w:pPr>
      <w:r>
        <w:rPr>
          <w:rFonts w:hint="eastAsia"/>
          <w:szCs w:val="24"/>
        </w:rPr>
        <w:t>资产评估机构法人营业执照副本（复印件）</w:t>
      </w:r>
    </w:p>
    <w:p w14:paraId="3928454B">
      <w:pPr>
        <w:numPr>
          <w:ilvl w:val="3"/>
          <w:numId w:val="18"/>
        </w:numPr>
        <w:tabs>
          <w:tab w:val="left" w:pos="0"/>
        </w:tabs>
        <w:adjustRightInd w:val="0"/>
        <w:snapToGrid w:val="0"/>
        <w:spacing w:line="360" w:lineRule="auto"/>
        <w:ind w:left="0" w:firstLine="426"/>
        <w:jc w:val="left"/>
        <w:rPr>
          <w:szCs w:val="24"/>
        </w:rPr>
      </w:pPr>
      <w:r>
        <w:rPr>
          <w:rFonts w:hint="eastAsia"/>
          <w:szCs w:val="24"/>
        </w:rPr>
        <w:t>签字资产评估师资格证明文件（复印件）</w:t>
      </w:r>
    </w:p>
    <w:p w14:paraId="58F725C3">
      <w:pPr>
        <w:numPr>
          <w:ilvl w:val="3"/>
          <w:numId w:val="18"/>
        </w:numPr>
        <w:tabs>
          <w:tab w:val="left" w:pos="0"/>
        </w:tabs>
        <w:adjustRightInd w:val="0"/>
        <w:snapToGrid w:val="0"/>
        <w:spacing w:line="360" w:lineRule="auto"/>
        <w:ind w:left="0" w:firstLine="426"/>
        <w:jc w:val="left"/>
        <w:rPr>
          <w:szCs w:val="24"/>
        </w:rPr>
      </w:pPr>
      <w:r>
        <w:rPr>
          <w:rFonts w:hint="eastAsia"/>
          <w:szCs w:val="24"/>
        </w:rPr>
        <w:t>资产评估委托合同（复印件）</w:t>
      </w:r>
    </w:p>
    <w:p w14:paraId="703F30BF">
      <w:pPr>
        <w:numPr>
          <w:ilvl w:val="3"/>
          <w:numId w:val="18"/>
        </w:numPr>
        <w:tabs>
          <w:tab w:val="left" w:pos="0"/>
        </w:tabs>
        <w:adjustRightInd w:val="0"/>
        <w:snapToGrid w:val="0"/>
        <w:spacing w:line="360" w:lineRule="auto"/>
        <w:ind w:left="0" w:firstLine="426"/>
        <w:jc w:val="left"/>
        <w:rPr>
          <w:rFonts w:hint="eastAsia"/>
          <w:szCs w:val="24"/>
          <w:lang w:val="en-US" w:eastAsia="zh-CN"/>
        </w:rPr>
      </w:pPr>
      <w:r>
        <w:rPr>
          <w:rFonts w:hint="eastAsia"/>
          <w:szCs w:val="24"/>
        </w:rPr>
        <w:t>国有资产产权登记证</w:t>
      </w:r>
    </w:p>
    <w:p w14:paraId="1C7089AD">
      <w:pPr>
        <w:numPr>
          <w:ilvl w:val="3"/>
          <w:numId w:val="18"/>
        </w:numPr>
        <w:tabs>
          <w:tab w:val="left" w:pos="0"/>
        </w:tabs>
        <w:adjustRightInd w:val="0"/>
        <w:snapToGrid w:val="0"/>
        <w:spacing w:line="360" w:lineRule="auto"/>
        <w:ind w:left="0" w:firstLine="426"/>
        <w:jc w:val="left"/>
        <w:rPr>
          <w:szCs w:val="24"/>
        </w:rPr>
      </w:pPr>
      <w:r>
        <w:rPr>
          <w:rFonts w:hint="eastAsia"/>
          <w:szCs w:val="24"/>
        </w:rPr>
        <w:t>账面值与评估结论存在较大差异的说明</w:t>
      </w:r>
    </w:p>
    <w:p w14:paraId="245E718A">
      <w:pPr>
        <w:tabs>
          <w:tab w:val="left" w:pos="284"/>
          <w:tab w:val="left" w:pos="993"/>
        </w:tabs>
        <w:adjustRightInd w:val="0"/>
        <w:snapToGrid w:val="0"/>
        <w:spacing w:line="360" w:lineRule="auto"/>
        <w:jc w:val="left"/>
        <w:rPr>
          <w:szCs w:val="24"/>
        </w:rPr>
      </w:pPr>
    </w:p>
    <w:p w14:paraId="56367DBE">
      <w:pPr>
        <w:tabs>
          <w:tab w:val="left" w:pos="284"/>
          <w:tab w:val="left" w:pos="993"/>
        </w:tabs>
        <w:adjustRightInd w:val="0"/>
        <w:snapToGrid w:val="0"/>
        <w:spacing w:line="360" w:lineRule="auto"/>
        <w:jc w:val="left"/>
        <w:rPr>
          <w:szCs w:val="24"/>
        </w:rPr>
        <w:sectPr>
          <w:footerReference r:id="rId7" w:type="default"/>
          <w:pgSz w:w="11906" w:h="16838"/>
          <w:pgMar w:top="1418" w:right="1474" w:bottom="1418" w:left="1474" w:header="896" w:footer="753" w:gutter="0"/>
          <w:pgNumType w:start="1"/>
          <w:cols w:space="720" w:num="1"/>
          <w:docGrid w:linePitch="450" w:charSpace="-4916"/>
        </w:sectPr>
      </w:pPr>
    </w:p>
    <w:p w14:paraId="0382CE39">
      <w:pPr>
        <w:pStyle w:val="64"/>
        <w:spacing w:line="500" w:lineRule="exact"/>
        <w:ind w:firstLine="480" w:firstLineChars="200"/>
        <w:rPr>
          <w:rFonts w:ascii="Times New Roman" w:eastAsia="宋体"/>
          <w:sz w:val="24"/>
          <w:szCs w:val="24"/>
        </w:rPr>
      </w:pPr>
    </w:p>
    <w:p w14:paraId="4C2E1F46">
      <w:pPr>
        <w:pStyle w:val="4"/>
        <w:spacing w:before="60" w:after="60" w:line="360" w:lineRule="auto"/>
        <w:ind w:firstLine="0"/>
        <w:jc w:val="center"/>
        <w:rPr>
          <w:rFonts w:ascii="Times New Roman" w:hAnsi="Times New Roman" w:eastAsia="宋体"/>
          <w:kern w:val="2"/>
          <w:sz w:val="30"/>
          <w:szCs w:val="30"/>
        </w:rPr>
      </w:pPr>
      <w:r>
        <w:rPr>
          <w:rFonts w:hint="eastAsia" w:ascii="Times New Roman" w:hAnsi="Times New Roman" w:eastAsia="宋体"/>
          <w:kern w:val="2"/>
          <w:sz w:val="30"/>
          <w:szCs w:val="30"/>
        </w:rPr>
        <w:t>资产评估师承诺函</w:t>
      </w:r>
    </w:p>
    <w:p w14:paraId="20728D9C"/>
    <w:p w14:paraId="65AF5098">
      <w:pPr>
        <w:spacing w:line="360" w:lineRule="auto"/>
        <w:rPr>
          <w:b/>
          <w:spacing w:val="20"/>
          <w:szCs w:val="24"/>
        </w:rPr>
      </w:pPr>
      <w:r>
        <w:rPr>
          <w:rFonts w:hint="eastAsia"/>
          <w:b/>
          <w:spacing w:val="20"/>
          <w:szCs w:val="24"/>
        </w:rPr>
        <w:t>中煤第五建设有限公司：</w:t>
      </w:r>
    </w:p>
    <w:p w14:paraId="11B3B688">
      <w:pPr>
        <w:pStyle w:val="64"/>
        <w:spacing w:line="500" w:lineRule="exact"/>
        <w:ind w:firstLine="480" w:firstLineChars="200"/>
        <w:rPr>
          <w:rFonts w:ascii="Times New Roman" w:eastAsia="宋体"/>
          <w:sz w:val="24"/>
          <w:szCs w:val="24"/>
        </w:rPr>
      </w:pPr>
      <w:r>
        <w:rPr>
          <w:rFonts w:hint="eastAsia" w:ascii="Times New Roman" w:eastAsia="宋体"/>
          <w:sz w:val="24"/>
          <w:szCs w:val="24"/>
        </w:rPr>
        <w:t>受贵公司的委托，我们对中煤第五建设有限公司拟处置部分在用周转材的市场价值，以2025年7月31日为基准日进行了评估，形成了资产评估报告。在本报告中披露的假设条件成立的前提下，我们承诺如下：</w:t>
      </w:r>
    </w:p>
    <w:p w14:paraId="366E34AE">
      <w:pPr>
        <w:pStyle w:val="64"/>
        <w:spacing w:line="500" w:lineRule="exact"/>
        <w:ind w:firstLine="480" w:firstLineChars="200"/>
        <w:rPr>
          <w:rFonts w:ascii="Times New Roman" w:eastAsia="宋体"/>
          <w:sz w:val="24"/>
          <w:szCs w:val="24"/>
        </w:rPr>
      </w:pPr>
      <w:r>
        <w:rPr>
          <w:rFonts w:ascii="Times New Roman" w:eastAsia="宋体"/>
          <w:sz w:val="24"/>
          <w:szCs w:val="24"/>
        </w:rPr>
        <w:t>1.</w:t>
      </w:r>
      <w:r>
        <w:rPr>
          <w:rFonts w:hint="eastAsia" w:ascii="Times New Roman" w:eastAsia="宋体"/>
          <w:sz w:val="24"/>
          <w:szCs w:val="24"/>
        </w:rPr>
        <w:t>具备相应的执业资格。</w:t>
      </w:r>
    </w:p>
    <w:p w14:paraId="3CE7D6AC">
      <w:pPr>
        <w:pStyle w:val="64"/>
        <w:spacing w:line="500" w:lineRule="exact"/>
        <w:ind w:firstLine="480" w:firstLineChars="200"/>
        <w:rPr>
          <w:rFonts w:ascii="Times New Roman" w:eastAsia="宋体"/>
          <w:sz w:val="24"/>
          <w:szCs w:val="24"/>
        </w:rPr>
      </w:pPr>
      <w:r>
        <w:rPr>
          <w:rFonts w:ascii="Times New Roman" w:eastAsia="宋体"/>
          <w:sz w:val="24"/>
          <w:szCs w:val="24"/>
        </w:rPr>
        <w:t>2.</w:t>
      </w:r>
      <w:r>
        <w:rPr>
          <w:rFonts w:hint="eastAsia" w:ascii="Times New Roman" w:eastAsia="宋体"/>
          <w:sz w:val="24"/>
          <w:szCs w:val="24"/>
        </w:rPr>
        <w:t>评估对象和评估范围与资产评估委托合同的约定一致。</w:t>
      </w:r>
    </w:p>
    <w:p w14:paraId="252347B2">
      <w:pPr>
        <w:pStyle w:val="64"/>
        <w:spacing w:line="500" w:lineRule="exact"/>
        <w:ind w:firstLine="480" w:firstLineChars="200"/>
        <w:rPr>
          <w:rFonts w:ascii="Times New Roman" w:eastAsia="宋体"/>
          <w:sz w:val="24"/>
          <w:szCs w:val="24"/>
        </w:rPr>
      </w:pPr>
      <w:r>
        <w:rPr>
          <w:rFonts w:ascii="Times New Roman" w:eastAsia="宋体"/>
          <w:sz w:val="24"/>
          <w:szCs w:val="24"/>
        </w:rPr>
        <w:t>3.</w:t>
      </w:r>
      <w:r>
        <w:rPr>
          <w:rFonts w:hint="eastAsia" w:ascii="Times New Roman" w:eastAsia="宋体"/>
          <w:sz w:val="24"/>
          <w:szCs w:val="24"/>
        </w:rPr>
        <w:t>对评估对象及其所涉及的资产进行了必要的核实。</w:t>
      </w:r>
    </w:p>
    <w:p w14:paraId="55824EE1">
      <w:pPr>
        <w:pStyle w:val="64"/>
        <w:spacing w:line="500" w:lineRule="exact"/>
        <w:ind w:firstLine="480" w:firstLineChars="200"/>
        <w:rPr>
          <w:rFonts w:ascii="Times New Roman" w:eastAsia="宋体"/>
          <w:sz w:val="24"/>
          <w:szCs w:val="24"/>
        </w:rPr>
      </w:pPr>
      <w:r>
        <w:rPr>
          <w:rFonts w:ascii="Times New Roman" w:eastAsia="宋体"/>
          <w:sz w:val="24"/>
          <w:szCs w:val="24"/>
        </w:rPr>
        <w:t>4.</w:t>
      </w:r>
      <w:r>
        <w:rPr>
          <w:rFonts w:hint="eastAsia" w:ascii="Times New Roman" w:eastAsia="宋体"/>
          <w:sz w:val="24"/>
          <w:szCs w:val="24"/>
        </w:rPr>
        <w:t>根据资产评估准则选用了评估方法。</w:t>
      </w:r>
    </w:p>
    <w:p w14:paraId="0318F811">
      <w:pPr>
        <w:pStyle w:val="64"/>
        <w:spacing w:line="500" w:lineRule="exact"/>
        <w:ind w:firstLine="480" w:firstLineChars="200"/>
        <w:rPr>
          <w:rFonts w:ascii="Times New Roman" w:eastAsia="宋体"/>
          <w:sz w:val="24"/>
          <w:szCs w:val="24"/>
        </w:rPr>
      </w:pPr>
      <w:r>
        <w:rPr>
          <w:rFonts w:ascii="Times New Roman" w:eastAsia="宋体"/>
          <w:sz w:val="24"/>
          <w:szCs w:val="24"/>
        </w:rPr>
        <w:t>5.</w:t>
      </w:r>
      <w:r>
        <w:rPr>
          <w:rFonts w:hint="eastAsia" w:ascii="Times New Roman" w:eastAsia="宋体"/>
          <w:sz w:val="24"/>
          <w:szCs w:val="24"/>
        </w:rPr>
        <w:t>充分考虑了影响评估价值的因素。</w:t>
      </w:r>
    </w:p>
    <w:p w14:paraId="6FF14DFC">
      <w:pPr>
        <w:pStyle w:val="64"/>
        <w:spacing w:line="500" w:lineRule="exact"/>
        <w:ind w:firstLine="480" w:firstLineChars="200"/>
        <w:rPr>
          <w:rFonts w:ascii="Times New Roman" w:eastAsia="宋体"/>
          <w:sz w:val="24"/>
          <w:szCs w:val="24"/>
        </w:rPr>
      </w:pPr>
      <w:r>
        <w:rPr>
          <w:rFonts w:ascii="Times New Roman" w:eastAsia="宋体"/>
          <w:sz w:val="24"/>
          <w:szCs w:val="24"/>
        </w:rPr>
        <w:t>6.</w:t>
      </w:r>
      <w:r>
        <w:rPr>
          <w:rFonts w:hint="eastAsia" w:ascii="Times New Roman" w:eastAsia="宋体"/>
          <w:sz w:val="24"/>
          <w:szCs w:val="24"/>
        </w:rPr>
        <w:t>评估结论合理。</w:t>
      </w:r>
    </w:p>
    <w:p w14:paraId="1749A407">
      <w:pPr>
        <w:pStyle w:val="64"/>
        <w:spacing w:line="500" w:lineRule="exact"/>
        <w:ind w:firstLine="480" w:firstLineChars="200"/>
        <w:rPr>
          <w:rFonts w:ascii="Times New Roman" w:eastAsia="宋体"/>
          <w:sz w:val="24"/>
          <w:szCs w:val="24"/>
        </w:rPr>
      </w:pPr>
      <w:r>
        <w:rPr>
          <w:rFonts w:ascii="Times New Roman" w:eastAsia="宋体"/>
          <w:sz w:val="24"/>
          <w:szCs w:val="24"/>
        </w:rPr>
        <w:t>7.</w:t>
      </w:r>
      <w:r>
        <w:rPr>
          <w:rFonts w:hint="eastAsia" w:ascii="Times New Roman" w:eastAsia="宋体"/>
          <w:sz w:val="24"/>
          <w:szCs w:val="24"/>
        </w:rPr>
        <w:t>评估工作未受到非法干预并独立进行。</w:t>
      </w:r>
    </w:p>
    <w:p w14:paraId="7F266519">
      <w:pPr>
        <w:spacing w:line="480" w:lineRule="auto"/>
        <w:ind w:firstLine="480" w:firstLineChars="200"/>
      </w:pPr>
    </w:p>
    <w:p w14:paraId="7F017800">
      <w:pPr>
        <w:spacing w:line="480" w:lineRule="auto"/>
        <w:ind w:firstLine="3780" w:firstLineChars="1575"/>
      </w:pPr>
      <w:r>
        <w:rPr>
          <w:rFonts w:hint="eastAsia"/>
        </w:rPr>
        <w:t>资产评估师签名：</w:t>
      </w:r>
      <w:r>
        <w:rPr>
          <w:u w:val="single"/>
        </w:rPr>
        <w:t xml:space="preserve">               </w:t>
      </w:r>
    </w:p>
    <w:p w14:paraId="76658505">
      <w:pPr>
        <w:spacing w:line="480" w:lineRule="auto"/>
        <w:ind w:firstLine="3780" w:firstLineChars="1575"/>
      </w:pPr>
    </w:p>
    <w:p w14:paraId="2FACF5BF">
      <w:pPr>
        <w:spacing w:line="480" w:lineRule="auto"/>
        <w:ind w:firstLine="3780" w:firstLineChars="1575"/>
      </w:pPr>
      <w:r>
        <w:rPr>
          <w:rFonts w:hint="eastAsia"/>
        </w:rPr>
        <w:t>资产评估师签名：</w:t>
      </w:r>
      <w:r>
        <w:rPr>
          <w:u w:val="single"/>
        </w:rPr>
        <w:t xml:space="preserve">               </w:t>
      </w:r>
    </w:p>
    <w:p w14:paraId="195C6DA4">
      <w:pPr>
        <w:spacing w:line="400" w:lineRule="exact"/>
        <w:ind w:firstLine="480" w:firstLineChars="200"/>
      </w:pPr>
    </w:p>
    <w:p w14:paraId="09E6EA79">
      <w:pPr>
        <w:spacing w:line="400" w:lineRule="exact"/>
        <w:ind w:firstLine="5640" w:firstLineChars="2350"/>
      </w:pPr>
    </w:p>
    <w:p w14:paraId="7ABDD8C7">
      <w:pPr>
        <w:jc w:val="right"/>
        <w:rPr>
          <w:szCs w:val="24"/>
        </w:rPr>
      </w:pPr>
      <w:r>
        <w:rPr>
          <w:szCs w:val="24"/>
        </w:rPr>
        <w:t>202</w:t>
      </w:r>
      <w:r>
        <w:rPr>
          <w:rFonts w:hint="eastAsia"/>
          <w:szCs w:val="24"/>
        </w:rPr>
        <w:t>5年11月4日</w:t>
      </w:r>
      <w:r>
        <w:rPr>
          <w:szCs w:val="24"/>
        </w:rPr>
        <w:t xml:space="preserve"> </w:t>
      </w:r>
    </w:p>
    <w:p w14:paraId="60324CAB">
      <w:pPr>
        <w:widowControl/>
        <w:jc w:val="left"/>
        <w:rPr>
          <w:szCs w:val="24"/>
        </w:rPr>
      </w:pPr>
      <w:r>
        <w:rPr>
          <w:szCs w:val="24"/>
        </w:rPr>
        <w:br w:type="page"/>
      </w:r>
    </w:p>
    <w:p w14:paraId="04B41810">
      <w:pPr>
        <w:pStyle w:val="4"/>
        <w:spacing w:before="60" w:after="60" w:line="360" w:lineRule="auto"/>
        <w:ind w:firstLine="0"/>
        <w:jc w:val="center"/>
        <w:rPr>
          <w:rFonts w:ascii="Times New Roman" w:hAnsi="Times New Roman" w:eastAsia="宋体"/>
          <w:kern w:val="2"/>
          <w:sz w:val="30"/>
          <w:szCs w:val="30"/>
        </w:rPr>
      </w:pPr>
      <w:r>
        <w:rPr>
          <w:rFonts w:hint="eastAsia" w:ascii="Times New Roman" w:hAnsi="Times New Roman" w:eastAsia="宋体"/>
          <w:kern w:val="2"/>
          <w:sz w:val="30"/>
          <w:szCs w:val="30"/>
        </w:rPr>
        <w:t>账面值与评估结论存在较大差异的说明</w:t>
      </w:r>
    </w:p>
    <w:p w14:paraId="0C0BCC6C">
      <w:pPr>
        <w:tabs>
          <w:tab w:val="left" w:pos="945"/>
        </w:tabs>
        <w:spacing w:line="360" w:lineRule="auto"/>
        <w:ind w:firstLine="480" w:firstLineChars="200"/>
      </w:pPr>
      <w:r>
        <w:rPr>
          <w:rFonts w:hint="eastAsia"/>
          <w:snapToGrid w:val="0"/>
          <w:szCs w:val="24"/>
        </w:rPr>
        <w:t>由于评估范围内大部分委估资产账面价值为零，导致评估增值。</w:t>
      </w:r>
    </w:p>
    <w:p w14:paraId="3BADFDF6">
      <w:pPr>
        <w:widowControl/>
        <w:snapToGrid w:val="0"/>
        <w:spacing w:line="360" w:lineRule="auto"/>
        <w:jc w:val="left"/>
        <w:rPr>
          <w:szCs w:val="24"/>
        </w:rPr>
      </w:pPr>
      <w:r>
        <w:rPr>
          <w:szCs w:val="24"/>
        </w:rPr>
        <w:br w:type="page"/>
      </w:r>
    </w:p>
    <w:p w14:paraId="1CF49F16">
      <w:pPr>
        <w:pStyle w:val="4"/>
        <w:spacing w:before="60" w:after="60" w:line="360" w:lineRule="auto"/>
        <w:ind w:firstLine="0"/>
        <w:jc w:val="center"/>
        <w:rPr>
          <w:rFonts w:ascii="Times New Roman" w:hAnsi="Times New Roman" w:eastAsia="宋体"/>
          <w:kern w:val="2"/>
          <w:sz w:val="30"/>
          <w:szCs w:val="30"/>
        </w:rPr>
      </w:pPr>
      <w:bookmarkStart w:id="84" w:name="_Hlk184740705"/>
      <w:r>
        <w:rPr>
          <w:rFonts w:hint="eastAsia" w:ascii="Times New Roman" w:hAnsi="Times New Roman" w:eastAsia="宋体"/>
          <w:kern w:val="2"/>
          <w:sz w:val="30"/>
          <w:szCs w:val="30"/>
        </w:rPr>
        <w:t>委托人暨产权持有人承诺函</w:t>
      </w:r>
    </w:p>
    <w:p w14:paraId="6F87C4DD">
      <w:pPr>
        <w:spacing w:line="360" w:lineRule="auto"/>
        <w:rPr>
          <w:b/>
          <w:szCs w:val="24"/>
        </w:rPr>
      </w:pPr>
      <w:r>
        <w:rPr>
          <w:rFonts w:hint="eastAsia"/>
          <w:b/>
          <w:szCs w:val="24"/>
        </w:rPr>
        <w:t>北京中致成国际资产评估有限公司：</w:t>
      </w:r>
    </w:p>
    <w:p w14:paraId="46984321">
      <w:pPr>
        <w:pStyle w:val="30"/>
        <w:snapToGrid w:val="0"/>
        <w:spacing w:before="0" w:beforeAutospacing="0" w:after="0" w:afterAutospacing="0" w:line="360" w:lineRule="auto"/>
        <w:ind w:firstLine="480" w:firstLineChars="200"/>
        <w:jc w:val="both"/>
        <w:rPr>
          <w:rFonts w:hint="default" w:ascii="Times New Roman" w:hAnsi="Times New Roman" w:cs="Times New Roman"/>
        </w:rPr>
      </w:pPr>
      <w:r>
        <w:rPr>
          <w:rFonts w:ascii="Times New Roman" w:hAnsi="Times New Roman" w:cs="Times New Roman"/>
        </w:rPr>
        <w:t>因</w:t>
      </w:r>
      <w:r>
        <w:t>中煤第五建设有限公司拟处置部分在用周转材料的</w:t>
      </w:r>
      <w:r>
        <w:rPr>
          <w:rFonts w:ascii="Times New Roman" w:hAnsi="Times New Roman" w:cs="Times New Roman"/>
        </w:rPr>
        <w:t>需要，委托你公司对该经济行为所涉</w:t>
      </w:r>
      <w:r>
        <w:rPr>
          <w:rFonts w:ascii="Times New Roman" w:hAnsi="Times New Roman" w:cs="Times New Roman"/>
          <w:color w:val="000000"/>
        </w:rPr>
        <w:t>及的</w:t>
      </w:r>
      <w:r>
        <w:t>中煤第五建设有限公司拟处置部分在用周转材料</w:t>
      </w:r>
      <w:r>
        <w:rPr>
          <w:rFonts w:ascii="Times New Roman" w:hAnsi="Times New Roman" w:cs="Times New Roman"/>
        </w:rPr>
        <w:t>以2025年7月31日为基准日</w:t>
      </w:r>
      <w:r>
        <w:rPr>
          <w:rFonts w:ascii="Times New Roman" w:hAnsi="Times New Roman" w:cs="Times New Roman"/>
          <w:color w:val="000000"/>
        </w:rPr>
        <w:t>进行评估。为确保资产评估机构客观、公正、合理地进行资</w:t>
      </w:r>
      <w:r>
        <w:rPr>
          <w:rFonts w:ascii="Times New Roman" w:hAnsi="Times New Roman" w:cs="Times New Roman"/>
        </w:rPr>
        <w:t>产评估，我们承诺如下，并承担相应的法律责任：</w:t>
      </w:r>
    </w:p>
    <w:p w14:paraId="5A5411BE">
      <w:pPr>
        <w:pStyle w:val="30"/>
        <w:snapToGrid w:val="0"/>
        <w:spacing w:before="0" w:beforeAutospacing="0" w:after="0" w:afterAutospacing="0" w:line="360" w:lineRule="auto"/>
        <w:ind w:firstLine="480" w:firstLineChars="200"/>
        <w:jc w:val="both"/>
        <w:rPr>
          <w:rFonts w:hint="default" w:ascii="Times New Roman" w:hAnsi="Times New Roman" w:cs="Times New Roman"/>
        </w:rPr>
      </w:pPr>
      <w:r>
        <w:rPr>
          <w:rFonts w:hint="default" w:ascii="Times New Roman" w:hAnsi="Times New Roman" w:cs="Times New Roman"/>
        </w:rPr>
        <w:t>1.</w:t>
      </w:r>
      <w:r>
        <w:rPr>
          <w:rFonts w:ascii="Times New Roman" w:hAnsi="Times New Roman" w:cs="Times New Roman"/>
        </w:rPr>
        <w:t>评估目的所对应的经济行为符合国家法律规定并已获上级主管部门的批准；</w:t>
      </w:r>
    </w:p>
    <w:p w14:paraId="66398E2C">
      <w:pPr>
        <w:pStyle w:val="30"/>
        <w:snapToGrid w:val="0"/>
        <w:spacing w:before="0" w:beforeAutospacing="0" w:after="0" w:afterAutospacing="0" w:line="360" w:lineRule="auto"/>
        <w:ind w:firstLine="480" w:firstLineChars="200"/>
        <w:jc w:val="both"/>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ab/>
      </w:r>
      <w:r>
        <w:rPr>
          <w:rFonts w:ascii="Times New Roman" w:hAnsi="Times New Roman" w:cs="Times New Roman"/>
        </w:rPr>
        <w:t>监督保证产权持有人提供的财务会计资料及其他与评估相关的资料真实、准确、完整，不存在虚假、误导、或重大遗漏，有关重大事项揭示充分；</w:t>
      </w:r>
    </w:p>
    <w:p w14:paraId="49101A41">
      <w:pPr>
        <w:pStyle w:val="30"/>
        <w:snapToGrid w:val="0"/>
        <w:spacing w:before="0" w:beforeAutospacing="0" w:after="0" w:afterAutospacing="0" w:line="360" w:lineRule="auto"/>
        <w:ind w:firstLine="480" w:firstLineChars="200"/>
        <w:jc w:val="both"/>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rPr>
        <w:tab/>
      </w:r>
      <w:r>
        <w:rPr>
          <w:rFonts w:ascii="Times New Roman" w:hAnsi="Times New Roman" w:cs="Times New Roman"/>
        </w:rPr>
        <w:t>负责协调产权持有人为本经济行为及时提供符合评估规范要求的基础资料；</w:t>
      </w:r>
    </w:p>
    <w:p w14:paraId="09CC1B83">
      <w:pPr>
        <w:pStyle w:val="30"/>
        <w:snapToGrid w:val="0"/>
        <w:spacing w:before="0" w:beforeAutospacing="0" w:after="0" w:afterAutospacing="0" w:line="360" w:lineRule="auto"/>
        <w:ind w:firstLine="480" w:firstLineChars="200"/>
        <w:jc w:val="both"/>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rPr>
        <w:tab/>
      </w:r>
      <w:r>
        <w:rPr>
          <w:rFonts w:ascii="Times New Roman" w:hAnsi="Times New Roman" w:cs="Times New Roman"/>
        </w:rPr>
        <w:t>产权持有人提供的评估明细表所载内容为经过我公司确认的评估范围；</w:t>
      </w:r>
    </w:p>
    <w:p w14:paraId="764839A4">
      <w:pPr>
        <w:pStyle w:val="30"/>
        <w:snapToGrid w:val="0"/>
        <w:spacing w:before="0" w:beforeAutospacing="0" w:after="0" w:afterAutospacing="0" w:line="360" w:lineRule="auto"/>
        <w:ind w:firstLine="480" w:firstLineChars="200"/>
        <w:jc w:val="both"/>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rPr>
        <w:tab/>
      </w:r>
      <w:r>
        <w:rPr>
          <w:rFonts w:ascii="Times New Roman" w:hAnsi="Times New Roman" w:cs="Times New Roman"/>
        </w:rPr>
        <w:t>委托的评估资产范围与经济行为涉及的资产范围一致，不重复、不遗漏。纳入评估范围的资产权属明确，出具的资产权属证明文件合法有效；</w:t>
      </w:r>
    </w:p>
    <w:p w14:paraId="4BD84C9A">
      <w:pPr>
        <w:pStyle w:val="30"/>
        <w:snapToGrid w:val="0"/>
        <w:spacing w:before="0" w:beforeAutospacing="0" w:after="0" w:afterAutospacing="0" w:line="360" w:lineRule="auto"/>
        <w:ind w:firstLine="480" w:firstLineChars="200"/>
        <w:jc w:val="both"/>
        <w:rPr>
          <w:rFonts w:hint="default" w:ascii="Times New Roman" w:hAnsi="Times New Roman" w:cs="Times New Roman"/>
        </w:rPr>
      </w:pPr>
      <w:r>
        <w:rPr>
          <w:rFonts w:hint="default" w:ascii="Times New Roman" w:hAnsi="Times New Roman" w:cs="Times New Roman"/>
        </w:rPr>
        <w:t>6.</w:t>
      </w:r>
      <w:r>
        <w:rPr>
          <w:rFonts w:hint="default" w:ascii="Times New Roman" w:hAnsi="Times New Roman" w:cs="Times New Roman"/>
        </w:rPr>
        <w:tab/>
      </w:r>
      <w:r>
        <w:rPr>
          <w:rFonts w:ascii="Times New Roman" w:hAnsi="Times New Roman" w:cs="Times New Roman"/>
        </w:rPr>
        <w:t>监督保证产权持有人所提供的公司生产经营管理资料客观、科学、合理；</w:t>
      </w:r>
    </w:p>
    <w:p w14:paraId="43FF8BE2">
      <w:pPr>
        <w:pStyle w:val="30"/>
        <w:snapToGrid w:val="0"/>
        <w:spacing w:before="0" w:beforeAutospacing="0" w:after="0" w:afterAutospacing="0" w:line="360" w:lineRule="auto"/>
        <w:ind w:firstLine="480" w:firstLineChars="200"/>
        <w:jc w:val="both"/>
        <w:rPr>
          <w:rFonts w:hint="default" w:ascii="Times New Roman" w:hAnsi="Times New Roman" w:cs="Times New Roman"/>
        </w:rPr>
      </w:pPr>
      <w:r>
        <w:rPr>
          <w:rFonts w:hint="default" w:ascii="Times New Roman" w:hAnsi="Times New Roman" w:cs="Times New Roman"/>
        </w:rPr>
        <w:t>7.</w:t>
      </w:r>
      <w:r>
        <w:rPr>
          <w:rFonts w:hint="default" w:ascii="Times New Roman" w:hAnsi="Times New Roman" w:cs="Times New Roman"/>
        </w:rPr>
        <w:tab/>
      </w:r>
      <w:r>
        <w:rPr>
          <w:rFonts w:ascii="Times New Roman" w:hAnsi="Times New Roman" w:cs="Times New Roman"/>
        </w:rPr>
        <w:t>我公司及我公司主要负责人和协助评估工作的人员均与评估机构和评估机构参与本次评估的工作人员没有任何利益冲突或存在损害评估独立性的关系；</w:t>
      </w:r>
    </w:p>
    <w:p w14:paraId="3DA63212">
      <w:pPr>
        <w:pStyle w:val="30"/>
        <w:snapToGrid w:val="0"/>
        <w:spacing w:before="0" w:beforeAutospacing="0" w:after="0" w:afterAutospacing="0" w:line="360" w:lineRule="auto"/>
        <w:ind w:firstLine="480" w:firstLineChars="200"/>
        <w:jc w:val="both"/>
        <w:rPr>
          <w:rFonts w:hint="default" w:ascii="Times New Roman" w:hAnsi="Times New Roman" w:cs="Times New Roman"/>
        </w:rPr>
      </w:pPr>
      <w:r>
        <w:rPr>
          <w:rFonts w:hint="default" w:ascii="Times New Roman" w:hAnsi="Times New Roman" w:cs="Times New Roman"/>
        </w:rPr>
        <w:t>8.</w:t>
      </w:r>
      <w:r>
        <w:rPr>
          <w:rFonts w:hint="default" w:ascii="Times New Roman" w:hAnsi="Times New Roman" w:cs="Times New Roman"/>
        </w:rPr>
        <w:tab/>
      </w:r>
      <w:r>
        <w:rPr>
          <w:rFonts w:ascii="Times New Roman" w:hAnsi="Times New Roman" w:cs="Times New Roman"/>
        </w:rPr>
        <w:t>不干预评估机构和评估人员独立、客观、公正地执业。</w:t>
      </w:r>
    </w:p>
    <w:p w14:paraId="2BDBB5A1">
      <w:pPr>
        <w:pStyle w:val="30"/>
        <w:snapToGrid w:val="0"/>
        <w:spacing w:before="0" w:beforeAutospacing="0" w:after="0" w:afterAutospacing="0"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rPr>
        <w:tab/>
      </w:r>
      <w:r>
        <w:rPr>
          <w:rFonts w:ascii="Times New Roman" w:hAnsi="Times New Roman" w:cs="Times New Roman"/>
        </w:rPr>
        <w:t>严格按评估报告中所述的评估目的使用评估报告。</w:t>
      </w:r>
    </w:p>
    <w:p w14:paraId="26D3BA35">
      <w:pPr>
        <w:spacing w:line="360" w:lineRule="auto"/>
        <w:rPr>
          <w:szCs w:val="24"/>
        </w:rPr>
      </w:pPr>
    </w:p>
    <w:p w14:paraId="239B3921">
      <w:pPr>
        <w:spacing w:line="360" w:lineRule="auto"/>
        <w:rPr>
          <w:szCs w:val="24"/>
        </w:rPr>
      </w:pPr>
    </w:p>
    <w:p w14:paraId="14EB7178">
      <w:pPr>
        <w:spacing w:line="360" w:lineRule="auto"/>
        <w:rPr>
          <w:szCs w:val="24"/>
        </w:rPr>
      </w:pPr>
    </w:p>
    <w:p w14:paraId="276CD133">
      <w:pPr>
        <w:pStyle w:val="30"/>
        <w:snapToGrid w:val="0"/>
        <w:spacing w:before="0" w:beforeAutospacing="0" w:after="0" w:afterAutospacing="0" w:line="480" w:lineRule="auto"/>
        <w:ind w:firstLine="2400" w:firstLineChars="1000"/>
        <w:jc w:val="both"/>
        <w:rPr>
          <w:rFonts w:hint="default" w:ascii="Times New Roman" w:hAnsi="Times New Roman" w:cs="Times New Roman"/>
          <w:color w:val="000000"/>
        </w:rPr>
      </w:pPr>
      <w:r>
        <w:rPr>
          <w:rFonts w:ascii="Times New Roman" w:hAnsi="Times New Roman" w:cs="Times New Roman"/>
          <w:color w:val="000000"/>
        </w:rPr>
        <w:t>委托人：</w:t>
      </w:r>
      <w:r>
        <w:t>中煤第五建设有限公司</w:t>
      </w:r>
    </w:p>
    <w:p w14:paraId="14A26BBE">
      <w:pPr>
        <w:pStyle w:val="30"/>
        <w:snapToGrid w:val="0"/>
        <w:spacing w:before="0" w:beforeAutospacing="0" w:after="0" w:afterAutospacing="0" w:line="480" w:lineRule="auto"/>
        <w:ind w:firstLine="2400" w:firstLineChars="1000"/>
        <w:jc w:val="both"/>
        <w:rPr>
          <w:rFonts w:hint="default" w:ascii="Times New Roman" w:hAnsi="Times New Roman" w:cs="Times New Roman"/>
        </w:rPr>
      </w:pPr>
      <w:r>
        <w:rPr>
          <w:rFonts w:ascii="Times New Roman" w:hAnsi="Times New Roman" w:cs="Times New Roman"/>
        </w:rPr>
        <w:t>法定代表人或授权代表：</w:t>
      </w:r>
      <w:r>
        <w:rPr>
          <w:rFonts w:hint="default" w:ascii="Times New Roman" w:hAnsi="Times New Roman" w:cs="Times New Roman"/>
        </w:rPr>
        <w:t xml:space="preserve"> </w:t>
      </w:r>
    </w:p>
    <w:p w14:paraId="360C262D">
      <w:pPr>
        <w:pStyle w:val="30"/>
        <w:snapToGrid w:val="0"/>
        <w:spacing w:before="0" w:beforeAutospacing="0" w:after="0" w:afterAutospacing="0" w:line="480" w:lineRule="auto"/>
        <w:ind w:firstLine="2400" w:firstLineChars="1000"/>
        <w:jc w:val="both"/>
        <w:rPr>
          <w:rFonts w:hint="default" w:ascii="Times New Roman" w:hAnsi="Times New Roman" w:cs="Times New Roman"/>
        </w:rPr>
      </w:pPr>
      <w:r>
        <w:rPr>
          <w:rFonts w:ascii="Times New Roman" w:hAnsi="Times New Roman" w:cs="Times New Roman"/>
        </w:rPr>
        <w:t>日期：</w:t>
      </w:r>
      <w:r>
        <w:rPr>
          <w:rFonts w:hint="default" w:ascii="Times New Roman" w:hAnsi="Times New Roman" w:cs="Times New Roman"/>
          <w:color w:val="FF0000"/>
        </w:rPr>
        <w:t xml:space="preserve"> </w:t>
      </w:r>
      <w:r>
        <w:rPr>
          <w:rFonts w:ascii="Times New Roman" w:hAnsi="Times New Roman" w:cs="Times New Roman"/>
        </w:rPr>
        <w:t>2025年11月3日</w:t>
      </w:r>
    </w:p>
    <w:bookmarkEnd w:id="84"/>
    <w:p w14:paraId="0B215123">
      <w:pPr>
        <w:widowControl/>
        <w:jc w:val="left"/>
        <w:rPr>
          <w:b/>
          <w:kern w:val="0"/>
        </w:rPr>
      </w:pPr>
    </w:p>
    <w:sectPr>
      <w:headerReference r:id="rId8" w:type="default"/>
      <w:footerReference r:id="rId9" w:type="default"/>
      <w:pgSz w:w="11907" w:h="16840"/>
      <w:pgMar w:top="1418" w:right="1474" w:bottom="1418" w:left="1474" w:header="1134" w:footer="992" w:gutter="0"/>
      <w:pgNumType w:start="1"/>
      <w:cols w:space="720" w:num="1"/>
      <w:docGrid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Monotype Sorts">
    <w:altName w:val="Wingdings"/>
    <w:panose1 w:val="00000000000000000000"/>
    <w:charset w:val="02"/>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D6FC0">
    <w:pPr>
      <w:pStyle w:val="21"/>
      <w:tabs>
        <w:tab w:val="right" w:pos="8931"/>
        <w:tab w:val="clear" w:pos="8306"/>
      </w:tabs>
      <w:ind w:right="-96"/>
      <w:jc w:val="both"/>
      <w:rPr>
        <w:rFonts w:ascii="黑体" w:eastAsia="黑体"/>
        <w:color w:val="808080"/>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64452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445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0D69F">
                          <w:pPr>
                            <w:pStyle w:val="21"/>
                            <w:tabs>
                              <w:tab w:val="right" w:pos="8600"/>
                              <w:tab w:val="clear" w:pos="8306"/>
                            </w:tabs>
                            <w:ind w:right="-96"/>
                            <w:jc w:val="center"/>
                          </w:pPr>
                          <w:r>
                            <w:t xml:space="preserve">第 </w:t>
                          </w:r>
                          <w:r>
                            <w:fldChar w:fldCharType="begin"/>
                          </w:r>
                          <w:r>
                            <w:instrText xml:space="preserve"> PAGE  \* MERGEFORMAT </w:instrText>
                          </w:r>
                          <w:r>
                            <w:fldChar w:fldCharType="separate"/>
                          </w:r>
                          <w:r>
                            <w:t>I</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50.75pt;mso-position-horizontal:right;mso-position-horizontal-relative:margin;z-index:251660288;mso-width-relative:page;mso-height-relative:page;" filled="f" stroked="f" coordsize="21600,21600" o:gfxdata="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ixbitQAAAAFAQAADwAAAAAAAAABACAAAAAiAAAAZHJzL2Rvd25yZXYueG1sUEsB&#10;AhQAFAAAAAgAh07iQH+vVLYyAgAAVgQAAA4AAAAAAAAAAQAgAAAAIwEAAGRycy9lMm9Eb2MueG1s&#10;UEsFBgAAAAAGAAYAWQEAAMcFAAAAAA==&#10;">
              <v:fill on="f" focussize="0,0"/>
              <v:stroke on="f" weight="0.5pt"/>
              <v:imagedata o:title=""/>
              <o:lock v:ext="edit" aspectratio="f"/>
              <v:textbox inset="0mm,0mm,0mm,0mm" style="mso-fit-shape-to-text:t;">
                <w:txbxContent>
                  <w:p w14:paraId="6A00D69F">
                    <w:pPr>
                      <w:pStyle w:val="21"/>
                      <w:tabs>
                        <w:tab w:val="right" w:pos="8600"/>
                        <w:tab w:val="clear" w:pos="8306"/>
                      </w:tabs>
                      <w:ind w:right="-96"/>
                      <w:jc w:val="center"/>
                    </w:pPr>
                    <w:r>
                      <w:t xml:space="preserve">第 </w:t>
                    </w:r>
                    <w:r>
                      <w:fldChar w:fldCharType="begin"/>
                    </w:r>
                    <w:r>
                      <w:instrText xml:space="preserve"> PAGE  \* MERGEFORMAT </w:instrText>
                    </w:r>
                    <w:r>
                      <w:fldChar w:fldCharType="separate"/>
                    </w:r>
                    <w:r>
                      <w:t>I</w:t>
                    </w:r>
                    <w:r>
                      <w:fldChar w:fldCharType="end"/>
                    </w:r>
                    <w:r>
                      <w:t xml:space="preserve"> 页</w:t>
                    </w:r>
                  </w:p>
                </w:txbxContent>
              </v:textbox>
            </v:shape>
          </w:pict>
        </mc:Fallback>
      </mc:AlternateContent>
    </w:r>
    <w:r>
      <w:rPr>
        <w:rFonts w:hint="eastAsia" w:ascii="黑体" w:eastAsia="黑体"/>
        <w:color w:val="808080"/>
        <w:u w:val="single"/>
      </w:rPr>
      <w:t xml:space="preserve">                                                    </w:t>
    </w:r>
    <w:r>
      <w:rPr>
        <w:rFonts w:ascii="黑体" w:eastAsia="黑体"/>
        <w:color w:val="808080"/>
        <w:u w:val="single"/>
      </w:rPr>
      <w:t xml:space="preserve">   </w:t>
    </w:r>
    <w:r>
      <w:rPr>
        <w:rFonts w:hint="eastAsia" w:ascii="黑体" w:eastAsia="黑体"/>
        <w:color w:val="808080"/>
        <w:u w:val="single"/>
      </w:rPr>
      <w:t xml:space="preserve">         </w:t>
    </w:r>
    <w:r>
      <w:rPr>
        <w:rFonts w:ascii="黑体" w:eastAsia="黑体"/>
        <w:color w:val="808080"/>
        <w:u w:val="single"/>
      </w:rPr>
      <w:t xml:space="preserve">        </w:t>
    </w:r>
    <w:r>
      <w:rPr>
        <w:rFonts w:hint="eastAsia" w:ascii="黑体" w:eastAsia="黑体"/>
        <w:color w:val="808080"/>
        <w:u w:val="single"/>
      </w:rPr>
      <w:t xml:space="preserve">                    </w:t>
    </w:r>
    <w:r>
      <w:rPr>
        <w:rFonts w:ascii="黑体" w:eastAsia="黑体"/>
        <w:color w:val="808080"/>
        <w:u w:val="single"/>
      </w:rPr>
      <w:t xml:space="preserve"> </w:t>
    </w:r>
    <w:r>
      <w:rPr>
        <w:rFonts w:hint="eastAsia" w:ascii="黑体" w:eastAsia="黑体"/>
        <w:color w:val="808080"/>
        <w:u w:val="single"/>
      </w:rPr>
      <w:t xml:space="preserve">       </w:t>
    </w:r>
    <w:r>
      <w:rPr>
        <w:rFonts w:hint="eastAsia" w:ascii="黑体" w:eastAsia="黑体"/>
        <w:color w:val="808080"/>
      </w:rPr>
      <w:t xml:space="preserve"> </w:t>
    </w:r>
  </w:p>
  <w:tbl>
    <w:tblPr>
      <w:tblStyle w:val="33"/>
      <w:tblW w:w="87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37"/>
      <w:gridCol w:w="3086"/>
    </w:tblGrid>
    <w:tr w14:paraId="11A2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7" w:type="dxa"/>
          <w:vAlign w:val="bottom"/>
        </w:tcPr>
        <w:p w14:paraId="5524FF67">
          <w:pPr>
            <w:pStyle w:val="21"/>
            <w:tabs>
              <w:tab w:val="right" w:pos="8600"/>
              <w:tab w:val="clear" w:pos="8306"/>
            </w:tabs>
            <w:ind w:left="-110" w:leftChars="-46" w:right="-96" w:firstLine="180" w:firstLineChars="100"/>
            <w:jc w:val="both"/>
            <w:rPr>
              <w:szCs w:val="18"/>
            </w:rPr>
          </w:pPr>
          <w:r>
            <w:rPr>
              <w:szCs w:val="18"/>
            </w:rPr>
            <w:t>北京中致成国际资产评估有限公司</w:t>
          </w:r>
        </w:p>
      </w:tc>
      <w:tc>
        <w:tcPr>
          <w:tcW w:w="3086" w:type="dxa"/>
          <w:vAlign w:val="bottom"/>
        </w:tcPr>
        <w:p w14:paraId="0766E66B">
          <w:pPr>
            <w:pStyle w:val="21"/>
            <w:tabs>
              <w:tab w:val="right" w:pos="8600"/>
              <w:tab w:val="clear" w:pos="8306"/>
            </w:tabs>
            <w:ind w:right="-96"/>
            <w:jc w:val="right"/>
            <w:rPr>
              <w:szCs w:val="18"/>
            </w:rPr>
          </w:pPr>
        </w:p>
      </w:tc>
    </w:tr>
  </w:tbl>
  <w:p w14:paraId="17DA833A">
    <w:pPr>
      <w:pStyle w:val="21"/>
      <w:tabs>
        <w:tab w:val="right" w:pos="8600"/>
        <w:tab w:val="clear" w:pos="8306"/>
      </w:tabs>
      <w:ind w:right="-96"/>
      <w:jc w:val="both"/>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81FCC">
    <w:pPr>
      <w:pStyle w:val="21"/>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11126">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AC11126">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2EA4">
    <w:pPr>
      <w:pStyle w:val="21"/>
      <w:tabs>
        <w:tab w:val="clear" w:pos="8306"/>
      </w:tabs>
      <w:ind w:right="27"/>
      <w:jc w:val="both"/>
      <w:rPr>
        <w:rFonts w:ascii="黑体" w:eastAsia="黑体"/>
        <w:color w:val="808080"/>
      </w:rPr>
    </w:pPr>
    <w:r>
      <w:rPr>
        <w:rFonts w:hint="eastAsia" w:ascii="黑体" w:eastAsia="黑体"/>
        <w:color w:val="808080"/>
        <w:u w:val="single"/>
      </w:rPr>
      <w:t xml:space="preserve">                                                   </w:t>
    </w:r>
    <w:r>
      <w:rPr>
        <w:rFonts w:ascii="黑体" w:eastAsia="黑体"/>
        <w:color w:val="808080"/>
        <w:u w:val="single"/>
      </w:rPr>
      <w:t xml:space="preserve">   </w:t>
    </w:r>
    <w:r>
      <w:rPr>
        <w:rFonts w:hint="eastAsia" w:ascii="黑体" w:eastAsia="黑体"/>
        <w:color w:val="808080"/>
        <w:u w:val="single"/>
      </w:rPr>
      <w:t xml:space="preserve">                </w:t>
    </w:r>
    <w:r>
      <w:rPr>
        <w:rFonts w:ascii="黑体" w:eastAsia="黑体"/>
        <w:color w:val="808080"/>
        <w:u w:val="single"/>
      </w:rPr>
      <w:t xml:space="preserve">     </w:t>
    </w:r>
    <w:r>
      <w:rPr>
        <w:rFonts w:hint="eastAsia" w:ascii="黑体" w:eastAsia="黑体"/>
        <w:color w:val="808080"/>
        <w:u w:val="single"/>
      </w:rPr>
      <w:t xml:space="preserve">                </w:t>
    </w:r>
    <w:r>
      <w:rPr>
        <w:rFonts w:ascii="黑体" w:eastAsia="黑体"/>
        <w:color w:val="808080"/>
        <w:u w:val="single"/>
      </w:rPr>
      <w:t xml:space="preserve">  </w:t>
    </w:r>
    <w:r>
      <w:rPr>
        <w:rFonts w:hint="eastAsia" w:ascii="黑体" w:eastAsia="黑体"/>
        <w:color w:val="808080"/>
        <w:u w:val="single"/>
      </w:rPr>
      <w:t xml:space="preserve">     </w:t>
    </w:r>
  </w:p>
  <w:tbl>
    <w:tblPr>
      <w:tblStyle w:val="33"/>
      <w:tblW w:w="8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37"/>
      <w:gridCol w:w="3152"/>
    </w:tblGrid>
    <w:tr w14:paraId="0504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5637" w:type="dxa"/>
          <w:vAlign w:val="bottom"/>
        </w:tcPr>
        <w:p w14:paraId="0C833CD2">
          <w:pPr>
            <w:pStyle w:val="21"/>
            <w:tabs>
              <w:tab w:val="right" w:pos="8600"/>
              <w:tab w:val="clear" w:pos="8306"/>
            </w:tabs>
            <w:ind w:left="-110" w:leftChars="-46" w:right="-96"/>
            <w:jc w:val="both"/>
            <w:rPr>
              <w:szCs w:val="18"/>
            </w:rPr>
          </w:pPr>
          <w:r>
            <w:rPr>
              <w:szCs w:val="18"/>
            </w:rPr>
            <w:t>北京中致成国际资产评估有限公司</w:t>
          </w:r>
        </w:p>
      </w:tc>
      <w:tc>
        <w:tcPr>
          <w:tcW w:w="3152" w:type="dxa"/>
          <w:vAlign w:val="bottom"/>
        </w:tcPr>
        <w:p w14:paraId="21C105B4">
          <w:pPr>
            <w:pStyle w:val="21"/>
            <w:tabs>
              <w:tab w:val="right" w:pos="8600"/>
              <w:tab w:val="clear" w:pos="8306"/>
            </w:tabs>
            <w:ind w:right="-96"/>
            <w:jc w:val="center"/>
            <w:rPr>
              <w:szCs w:val="18"/>
            </w:rPr>
          </w:pPr>
          <w:r>
            <w:rPr>
              <w:rFonts w:hint="eastAsia"/>
              <w:szCs w:val="18"/>
            </w:rPr>
            <w:t xml:space="preserve">                            </w:t>
          </w:r>
          <w:r>
            <w:rPr>
              <w:szCs w:val="18"/>
            </w:rPr>
            <w:t>第</w:t>
          </w:r>
          <w:r>
            <w:rPr>
              <w:szCs w:val="18"/>
            </w:rPr>
            <w:fldChar w:fldCharType="begin"/>
          </w:r>
          <w:r>
            <w:rPr>
              <w:szCs w:val="18"/>
            </w:rPr>
            <w:instrText xml:space="preserve"> PAGE </w:instrText>
          </w:r>
          <w:r>
            <w:rPr>
              <w:szCs w:val="18"/>
            </w:rPr>
            <w:fldChar w:fldCharType="separate"/>
          </w:r>
          <w:r>
            <w:rPr>
              <w:szCs w:val="18"/>
            </w:rPr>
            <w:t>I</w:t>
          </w:r>
          <w:r>
            <w:rPr>
              <w:szCs w:val="18"/>
            </w:rPr>
            <w:fldChar w:fldCharType="end"/>
          </w:r>
          <w:bookmarkStart w:id="86" w:name="_Toc450730883"/>
          <w:r>
            <w:rPr>
              <w:szCs w:val="18"/>
            </w:rPr>
            <w:t>页</w:t>
          </w:r>
          <w:bookmarkEnd w:id="86"/>
        </w:p>
      </w:tc>
    </w:tr>
  </w:tbl>
  <w:p w14:paraId="1BA7B96E">
    <w:pPr>
      <w:pStyle w:val="21"/>
      <w:tabs>
        <w:tab w:val="right" w:pos="8600"/>
        <w:tab w:val="clear" w:pos="8306"/>
      </w:tabs>
      <w:ind w:right="-96"/>
      <w:jc w:val="both"/>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AEC58">
    <w:pPr>
      <w:pStyle w:val="21"/>
      <w:tabs>
        <w:tab w:val="clear" w:pos="8306"/>
      </w:tabs>
      <w:ind w:right="27"/>
      <w:jc w:val="both"/>
      <w:rPr>
        <w:rFonts w:ascii="黑体" w:eastAsia="黑体"/>
        <w:color w:val="808080"/>
      </w:rPr>
    </w:pPr>
    <w:r>
      <mc:AlternateContent>
        <mc:Choice Requires="wps">
          <w:drawing>
            <wp:anchor distT="0" distB="0" distL="114300" distR="114300" simplePos="0" relativeHeight="251663360" behindDoc="0" locked="0" layoutInCell="1" allowOverlap="1">
              <wp:simplePos x="0" y="0"/>
              <wp:positionH relativeFrom="margin">
                <wp:posOffset>4907915</wp:posOffset>
              </wp:positionH>
              <wp:positionV relativeFrom="paragraph">
                <wp:posOffset>143510</wp:posOffset>
              </wp:positionV>
              <wp:extent cx="504190" cy="1828800"/>
              <wp:effectExtent l="0" t="0" r="10795" b="0"/>
              <wp:wrapNone/>
              <wp:docPr id="11" name="文本框 11"/>
              <wp:cNvGraphicFramePr/>
              <a:graphic xmlns:a="http://schemas.openxmlformats.org/drawingml/2006/main">
                <a:graphicData uri="http://schemas.microsoft.com/office/word/2010/wordprocessingShape">
                  <wps:wsp>
                    <wps:cNvSpPr txBox="1"/>
                    <wps:spPr>
                      <a:xfrm>
                        <a:off x="0" y="0"/>
                        <a:ext cx="504092"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890E2">
                          <w:pPr>
                            <w:pStyle w:val="21"/>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6.45pt;margin-top:11.3pt;height:144pt;width:39.7pt;mso-position-horizontal-relative:margin;z-index:251663360;mso-width-relative:page;mso-height-relative:page;" filled="f" stroked="f" coordsize="21600,21600" o:gfxdata="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ESgtkAAAAKAQAADwAAAAAAAAABACAAAAAiAAAAZHJzL2Rvd25yZXYu&#10;eG1sUEsBAhQAFAAAAAgAh07iQJB33p0zAgAAWAQAAA4AAAAAAAAAAQAgAAAAKAEAAGRycy9lMm9E&#10;b2MueG1sUEsFBgAAAAAGAAYAWQEAAM0FAAAAAA==&#10;">
              <v:fill on="f" focussize="0,0"/>
              <v:stroke on="f" weight="0.5pt"/>
              <v:imagedata o:title=""/>
              <o:lock v:ext="edit" aspectratio="f"/>
              <v:textbox inset="0mm,0mm,0mm,0mm" style="mso-fit-shape-to-text:t;">
                <w:txbxContent>
                  <w:p w14:paraId="704890E2">
                    <w:pPr>
                      <w:pStyle w:val="21"/>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黑体" w:eastAsia="黑体"/>
        <w:color w:val="808080"/>
        <w:u w:val="single"/>
      </w:rPr>
      <w:t xml:space="preserve">                                                   </w:t>
    </w:r>
    <w:r>
      <w:rPr>
        <w:rFonts w:ascii="黑体" w:eastAsia="黑体"/>
        <w:color w:val="808080"/>
        <w:u w:val="single"/>
      </w:rPr>
      <w:t xml:space="preserve">   </w:t>
    </w:r>
    <w:r>
      <w:rPr>
        <w:rFonts w:hint="eastAsia" w:ascii="黑体" w:eastAsia="黑体"/>
        <w:color w:val="808080"/>
        <w:u w:val="single"/>
      </w:rPr>
      <w:t xml:space="preserve">                </w:t>
    </w:r>
    <w:r>
      <w:rPr>
        <w:rFonts w:ascii="黑体" w:eastAsia="黑体"/>
        <w:color w:val="808080"/>
        <w:u w:val="single"/>
      </w:rPr>
      <w:t xml:space="preserve">     </w:t>
    </w:r>
    <w:r>
      <w:rPr>
        <w:rFonts w:hint="eastAsia" w:ascii="黑体" w:eastAsia="黑体"/>
        <w:color w:val="808080"/>
        <w:u w:val="single"/>
      </w:rPr>
      <w:t xml:space="preserve">                </w:t>
    </w:r>
    <w:r>
      <w:rPr>
        <w:rFonts w:ascii="黑体" w:eastAsia="黑体"/>
        <w:color w:val="808080"/>
        <w:u w:val="single"/>
      </w:rPr>
      <w:t xml:space="preserve">  </w:t>
    </w:r>
    <w:r>
      <w:rPr>
        <w:rFonts w:hint="eastAsia" w:ascii="黑体" w:eastAsia="黑体"/>
        <w:color w:val="808080"/>
        <w:u w:val="single"/>
      </w:rPr>
      <w:t xml:space="preserve">     </w:t>
    </w:r>
  </w:p>
  <w:tbl>
    <w:tblPr>
      <w:tblStyle w:val="33"/>
      <w:tblW w:w="89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37"/>
      <w:gridCol w:w="3274"/>
    </w:tblGrid>
    <w:tr w14:paraId="7A9D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7" w:type="dxa"/>
          <w:vAlign w:val="bottom"/>
        </w:tcPr>
        <w:p w14:paraId="1879E20F">
          <w:pPr>
            <w:pStyle w:val="21"/>
            <w:tabs>
              <w:tab w:val="right" w:pos="8600"/>
              <w:tab w:val="clear" w:pos="8306"/>
            </w:tabs>
            <w:ind w:left="-110" w:leftChars="-46" w:right="-96"/>
            <w:jc w:val="both"/>
            <w:rPr>
              <w:szCs w:val="18"/>
            </w:rPr>
          </w:pPr>
          <w:r>
            <w:rPr>
              <w:szCs w:val="18"/>
            </w:rPr>
            <w:t>北京中致成国际资产评估有限公司</w:t>
          </w:r>
        </w:p>
      </w:tc>
      <w:tc>
        <w:tcPr>
          <w:tcW w:w="3274" w:type="dxa"/>
          <w:vAlign w:val="bottom"/>
        </w:tcPr>
        <w:p w14:paraId="16E2171E">
          <w:pPr>
            <w:pStyle w:val="21"/>
            <w:tabs>
              <w:tab w:val="right" w:pos="8600"/>
              <w:tab w:val="clear" w:pos="8306"/>
            </w:tabs>
            <w:ind w:right="-96"/>
            <w:jc w:val="right"/>
            <w:rPr>
              <w:szCs w:val="18"/>
            </w:rPr>
          </w:pPr>
        </w:p>
      </w:tc>
    </w:tr>
  </w:tbl>
  <w:p w14:paraId="0C16ED17">
    <w:pPr>
      <w:pStyle w:val="21"/>
      <w:tabs>
        <w:tab w:val="right" w:pos="8600"/>
        <w:tab w:val="clear" w:pos="8306"/>
      </w:tabs>
      <w:ind w:right="-96"/>
      <w:jc w:val="both"/>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A409A">
    <w:pPr>
      <w:pStyle w:val="21"/>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8F6C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B78F6CB"/>
                </w:txbxContent>
              </v:textbox>
            </v:shape>
          </w:pict>
        </mc:Fallback>
      </mc:AlternateContent>
    </w:r>
  </w:p>
  <w:p w14:paraId="4EED14C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3"/>
      <w:tblW w:w="9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45"/>
    </w:tblGrid>
    <w:tr w14:paraId="43AC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45" w:type="dxa"/>
          <w:vAlign w:val="bottom"/>
        </w:tcPr>
        <w:p w14:paraId="72B5CE01">
          <w:pPr>
            <w:spacing w:line="240" w:lineRule="atLeast"/>
            <w:jc w:val="right"/>
            <w:rPr>
              <w:sz w:val="36"/>
              <w:szCs w:val="36"/>
            </w:rPr>
          </w:pPr>
          <w:bookmarkStart w:id="85" w:name="_Hlk174954354"/>
          <w:r>
            <w:rPr>
              <w:rFonts w:hint="eastAsia"/>
              <w:sz w:val="18"/>
              <w:szCs w:val="18"/>
            </w:rPr>
            <w:t xml:space="preserve">    中煤第五建设有限公司拟处置部分在用周转材料的市场价值项目</w:t>
          </w:r>
          <w:bookmarkEnd w:id="85"/>
          <w:r>
            <w:rPr>
              <w:rFonts w:hint="eastAsia"/>
              <w:sz w:val="18"/>
              <w:szCs w:val="18"/>
            </w:rPr>
            <w:t>资产评估报告</w:t>
          </w:r>
        </w:p>
      </w:tc>
    </w:tr>
  </w:tbl>
  <w:p w14:paraId="5DAFE070">
    <w:pPr>
      <w:pStyle w:val="22"/>
      <w:jc w:val="left"/>
      <w:rPr>
        <w:rFonts w:hint="eastAsia" w:ascii="宋体" w:hAnsi="宋体"/>
        <w:sz w:val="2"/>
        <w:szCs w:val="18"/>
      </w:rPr>
    </w:pPr>
    <w:r>
      <w:rPr>
        <w:rFonts w:hint="eastAsia" w:ascii="宋体" w:hAnsi="宋体"/>
        <w:sz w:val="2"/>
        <w:szCs w:val="18"/>
      </w:rPr>
      <w: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81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7E7AE"/>
    <w:multiLevelType w:val="singleLevel"/>
    <w:tmpl w:val="DDC7E7AE"/>
    <w:lvl w:ilvl="0" w:tentative="0">
      <w:start w:val="1"/>
      <w:numFmt w:val="chineseCounting"/>
      <w:suff w:val="nothing"/>
      <w:lvlText w:val="（%1）"/>
      <w:lvlJc w:val="left"/>
      <w:pPr>
        <w:ind w:left="10" w:firstLine="420"/>
      </w:pPr>
      <w:rPr>
        <w:rFonts w:hint="eastAsia"/>
      </w:rPr>
    </w:lvl>
  </w:abstractNum>
  <w:abstractNum w:abstractNumId="1">
    <w:nsid w:val="05BF2CD6"/>
    <w:multiLevelType w:val="singleLevel"/>
    <w:tmpl w:val="05BF2CD6"/>
    <w:lvl w:ilvl="0" w:tentative="0">
      <w:start w:val="1"/>
      <w:numFmt w:val="chineseCounting"/>
      <w:suff w:val="nothing"/>
      <w:lvlText w:val="（%1）"/>
      <w:lvlJc w:val="left"/>
      <w:pPr>
        <w:ind w:left="10" w:firstLine="420"/>
      </w:pPr>
      <w:rPr>
        <w:rFonts w:hint="eastAsia"/>
      </w:rPr>
    </w:lvl>
  </w:abstractNum>
  <w:abstractNum w:abstractNumId="2">
    <w:nsid w:val="08A70EBA"/>
    <w:multiLevelType w:val="multilevel"/>
    <w:tmpl w:val="08A70EBA"/>
    <w:lvl w:ilvl="0" w:tentative="0">
      <w:start w:val="1"/>
      <w:numFmt w:val="chineseCountingThousand"/>
      <w:lvlText w:val="（%1）"/>
      <w:lvlJc w:val="left"/>
      <w:pPr>
        <w:ind w:left="2580" w:hanging="420"/>
      </w:pPr>
      <w:rPr>
        <w:rFonts w:hint="default"/>
      </w:r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abstractNum w:abstractNumId="3">
    <w:nsid w:val="09CA32C7"/>
    <w:multiLevelType w:val="multilevel"/>
    <w:tmpl w:val="09CA32C7"/>
    <w:lvl w:ilvl="0" w:tentative="0">
      <w:start w:val="1"/>
      <w:numFmt w:val="decimal"/>
      <w:lvlText w:val="%1、"/>
      <w:lvlJc w:val="left"/>
      <w:pPr>
        <w:ind w:left="920" w:hanging="440"/>
      </w:pPr>
      <w:rPr>
        <w:rFonts w:hint="eastAsia"/>
      </w:rPr>
    </w:lvl>
    <w:lvl w:ilvl="1" w:tentative="0">
      <w:start w:val="1"/>
      <w:numFmt w:val="decimal"/>
      <w:lvlText w:val="%2."/>
      <w:lvlJc w:val="left"/>
      <w:pPr>
        <w:ind w:left="880"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CE618C4"/>
    <w:multiLevelType w:val="multilevel"/>
    <w:tmpl w:val="0CE618C4"/>
    <w:lvl w:ilvl="0" w:tentative="0">
      <w:start w:val="1"/>
      <w:numFmt w:val="decimal"/>
      <w:lvlText w:val="%1."/>
      <w:lvlJc w:val="left"/>
      <w:pPr>
        <w:ind w:left="420" w:hanging="420"/>
      </w:pPr>
    </w:lvl>
    <w:lvl w:ilvl="1" w:tentative="0">
      <w:start w:val="1"/>
      <w:numFmt w:val="decimal"/>
      <w:lvlText w:val="%2)"/>
      <w:lvlJc w:val="left"/>
      <w:pPr>
        <w:tabs>
          <w:tab w:val="left" w:pos="1275"/>
        </w:tabs>
        <w:ind w:left="1275" w:hanging="855"/>
      </w:pPr>
      <w:rPr>
        <w:rFonts w:hint="default"/>
      </w:rPr>
    </w:lvl>
    <w:lvl w:ilvl="2" w:tentative="0">
      <w:start w:val="1"/>
      <w:numFmt w:val="decimal"/>
      <w:lvlText w:val="%3."/>
      <w:lvlJc w:val="left"/>
      <w:pPr>
        <w:tabs>
          <w:tab w:val="left" w:pos="1260"/>
        </w:tabs>
        <w:ind w:left="1260" w:hanging="420"/>
      </w:pPr>
    </w:lvl>
    <w:lvl w:ilvl="3" w:tentative="0">
      <w:start w:val="1"/>
      <w:numFmt w:val="bullet"/>
      <w:lvlText w:val="●"/>
      <w:lvlJc w:val="left"/>
      <w:pPr>
        <w:tabs>
          <w:tab w:val="left" w:pos="1980"/>
        </w:tabs>
        <w:ind w:left="1980" w:hanging="720"/>
      </w:pPr>
      <w:rPr>
        <w:rFonts w:ascii="宋体" w:hAnsi="宋体" w:eastAsia="宋体" w:cs="Times New Roman"/>
      </w:rPr>
    </w:lvl>
    <w:lvl w:ilvl="4" w:tentative="0">
      <w:start w:val="1"/>
      <w:numFmt w:val="decimalEnclosedCircle"/>
      <w:lvlText w:val="%5"/>
      <w:lvlJc w:val="left"/>
      <w:pPr>
        <w:ind w:left="2040" w:hanging="360"/>
      </w:pPr>
      <w:rPr>
        <w:rFonts w:hint="default"/>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3431CD6"/>
    <w:multiLevelType w:val="multilevel"/>
    <w:tmpl w:val="13431CD6"/>
    <w:lvl w:ilvl="0" w:tentative="0">
      <w:start w:val="1"/>
      <w:numFmt w:val="decimal"/>
      <w:lvlText w:val="%1、"/>
      <w:lvlJc w:val="left"/>
      <w:pPr>
        <w:ind w:left="724" w:hanging="440"/>
      </w:pPr>
      <w:rPr>
        <w:rFonts w:hint="eastAsia"/>
      </w:rPr>
    </w:lvl>
    <w:lvl w:ilvl="1" w:tentative="0">
      <w:start w:val="1"/>
      <w:numFmt w:val="decimal"/>
      <w:lvlText w:val="%2."/>
      <w:lvlJc w:val="left"/>
      <w:pPr>
        <w:ind w:left="880"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17CE75A3"/>
    <w:multiLevelType w:val="multilevel"/>
    <w:tmpl w:val="17CE75A3"/>
    <w:lvl w:ilvl="0" w:tentative="0">
      <w:start w:val="1"/>
      <w:numFmt w:val="japaneseCounting"/>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chineseCountingThousand"/>
      <w:lvlText w:val="（%5）"/>
      <w:lvlJc w:val="left"/>
      <w:pPr>
        <w:ind w:left="2580" w:hanging="420"/>
      </w:pPr>
      <w:rPr>
        <w:rFonts w:hint="default"/>
      </w:r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824F85F"/>
    <w:multiLevelType w:val="singleLevel"/>
    <w:tmpl w:val="1824F85F"/>
    <w:lvl w:ilvl="0" w:tentative="0">
      <w:start w:val="1"/>
      <w:numFmt w:val="chineseCounting"/>
      <w:suff w:val="nothing"/>
      <w:lvlText w:val="（%1）"/>
      <w:lvlJc w:val="left"/>
      <w:pPr>
        <w:ind w:left="10" w:firstLine="420"/>
      </w:pPr>
      <w:rPr>
        <w:rFonts w:hint="eastAsia"/>
      </w:rPr>
    </w:lvl>
  </w:abstractNum>
  <w:abstractNum w:abstractNumId="8">
    <w:nsid w:val="34207F89"/>
    <w:multiLevelType w:val="multilevel"/>
    <w:tmpl w:val="34207F89"/>
    <w:lvl w:ilvl="0" w:tentative="0">
      <w:start w:val="1"/>
      <w:numFmt w:val="decimal"/>
      <w:lvlText w:val="%1."/>
      <w:lvlJc w:val="left"/>
      <w:pPr>
        <w:ind w:left="1980" w:hanging="420"/>
      </w:pPr>
      <w:rPr>
        <w:rFonts w:hint="default"/>
        <w:color w:val="000000" w:themeColor="text1"/>
        <w14:textFill>
          <w14:solidFill>
            <w14:schemeClr w14:val="tx1"/>
          </w14:solidFill>
        </w14:textFill>
      </w:rPr>
    </w:lvl>
    <w:lvl w:ilvl="1" w:tentative="0">
      <w:start w:val="8"/>
      <w:numFmt w:val="decimal"/>
      <w:lvlText w:val="%2．"/>
      <w:lvlJc w:val="left"/>
      <w:pPr>
        <w:ind w:left="2340" w:hanging="360"/>
      </w:pPr>
      <w:rPr>
        <w:rFonts w:hint="default"/>
      </w:rPr>
    </w:lvl>
    <w:lvl w:ilvl="2" w:tentative="0">
      <w:start w:val="1"/>
      <w:numFmt w:val="lowerRoman"/>
      <w:lvlText w:val="%3."/>
      <w:lvlJc w:val="right"/>
      <w:pPr>
        <w:ind w:left="2820" w:hanging="420"/>
      </w:pPr>
    </w:lvl>
    <w:lvl w:ilvl="3" w:tentative="0">
      <w:start w:val="1"/>
      <w:numFmt w:val="decimal"/>
      <w:lvlText w:val="%4."/>
      <w:lvlJc w:val="left"/>
      <w:pPr>
        <w:ind w:left="3240" w:hanging="420"/>
      </w:pPr>
    </w:lvl>
    <w:lvl w:ilvl="4" w:tentative="0">
      <w:start w:val="1"/>
      <w:numFmt w:val="lowerLetter"/>
      <w:lvlText w:val="%5)"/>
      <w:lvlJc w:val="left"/>
      <w:pPr>
        <w:ind w:left="3660" w:hanging="420"/>
      </w:pPr>
    </w:lvl>
    <w:lvl w:ilvl="5" w:tentative="0">
      <w:start w:val="1"/>
      <w:numFmt w:val="lowerRoman"/>
      <w:lvlText w:val="%6."/>
      <w:lvlJc w:val="right"/>
      <w:pPr>
        <w:ind w:left="4080" w:hanging="420"/>
      </w:pPr>
    </w:lvl>
    <w:lvl w:ilvl="6" w:tentative="0">
      <w:start w:val="1"/>
      <w:numFmt w:val="decimal"/>
      <w:lvlText w:val="%7."/>
      <w:lvlJc w:val="left"/>
      <w:pPr>
        <w:ind w:left="4500" w:hanging="420"/>
      </w:pPr>
    </w:lvl>
    <w:lvl w:ilvl="7" w:tentative="0">
      <w:start w:val="1"/>
      <w:numFmt w:val="lowerLetter"/>
      <w:lvlText w:val="%8)"/>
      <w:lvlJc w:val="left"/>
      <w:pPr>
        <w:ind w:left="4920" w:hanging="420"/>
      </w:pPr>
    </w:lvl>
    <w:lvl w:ilvl="8" w:tentative="0">
      <w:start w:val="1"/>
      <w:numFmt w:val="lowerRoman"/>
      <w:lvlText w:val="%9."/>
      <w:lvlJc w:val="right"/>
      <w:pPr>
        <w:ind w:left="5340" w:hanging="420"/>
      </w:pPr>
    </w:lvl>
  </w:abstractNum>
  <w:abstractNum w:abstractNumId="9">
    <w:nsid w:val="47F66180"/>
    <w:multiLevelType w:val="multilevel"/>
    <w:tmpl w:val="47F66180"/>
    <w:lvl w:ilvl="0" w:tentative="0">
      <w:start w:val="1"/>
      <w:numFmt w:val="chineseCountingThousand"/>
      <w:lvlText w:val="%1、"/>
      <w:lvlJc w:val="left"/>
      <w:pPr>
        <w:ind w:left="981" w:hanging="420"/>
      </w:pPr>
      <w:rPr>
        <w:rFonts w:hint="eastAsia"/>
      </w:rPr>
    </w:lvl>
    <w:lvl w:ilvl="1" w:tentative="0">
      <w:start w:val="1"/>
      <w:numFmt w:val="lowerLetter"/>
      <w:lvlText w:val="%2)"/>
      <w:lvlJc w:val="left"/>
      <w:pPr>
        <w:ind w:left="1401" w:hanging="420"/>
      </w:pPr>
      <w:rPr>
        <w:rFonts w:hint="eastAsia"/>
      </w:rPr>
    </w:lvl>
    <w:lvl w:ilvl="2" w:tentative="0">
      <w:start w:val="1"/>
      <w:numFmt w:val="lowerRoman"/>
      <w:lvlText w:val="%3."/>
      <w:lvlJc w:val="right"/>
      <w:pPr>
        <w:ind w:left="1821" w:hanging="420"/>
      </w:pPr>
      <w:rPr>
        <w:rFonts w:hint="eastAsia"/>
      </w:rPr>
    </w:lvl>
    <w:lvl w:ilvl="3" w:tentative="0">
      <w:start w:val="1"/>
      <w:numFmt w:val="chineseCountingThousand"/>
      <w:suff w:val="nothing"/>
      <w:lvlText w:val="%4、"/>
      <w:lvlJc w:val="left"/>
      <w:pPr>
        <w:ind w:left="2241" w:hanging="420"/>
      </w:pPr>
      <w:rPr>
        <w:rFonts w:hint="eastAsia"/>
      </w:rPr>
    </w:lvl>
    <w:lvl w:ilvl="4" w:tentative="0">
      <w:start w:val="1"/>
      <w:numFmt w:val="lowerLetter"/>
      <w:lvlText w:val="%5)"/>
      <w:lvlJc w:val="left"/>
      <w:pPr>
        <w:ind w:left="2661" w:hanging="420"/>
      </w:pPr>
      <w:rPr>
        <w:rFonts w:hint="eastAsia"/>
      </w:rPr>
    </w:lvl>
    <w:lvl w:ilvl="5" w:tentative="0">
      <w:start w:val="1"/>
      <w:numFmt w:val="lowerRoman"/>
      <w:lvlText w:val="%6."/>
      <w:lvlJc w:val="right"/>
      <w:pPr>
        <w:ind w:left="3081" w:hanging="420"/>
      </w:pPr>
      <w:rPr>
        <w:rFonts w:hint="eastAsia"/>
      </w:rPr>
    </w:lvl>
    <w:lvl w:ilvl="6" w:tentative="0">
      <w:start w:val="1"/>
      <w:numFmt w:val="decimal"/>
      <w:lvlText w:val="%7."/>
      <w:lvlJc w:val="left"/>
      <w:pPr>
        <w:ind w:left="3501" w:hanging="420"/>
      </w:pPr>
      <w:rPr>
        <w:rFonts w:hint="eastAsia"/>
      </w:rPr>
    </w:lvl>
    <w:lvl w:ilvl="7" w:tentative="0">
      <w:start w:val="1"/>
      <w:numFmt w:val="lowerLetter"/>
      <w:lvlText w:val="%8)"/>
      <w:lvlJc w:val="left"/>
      <w:pPr>
        <w:ind w:left="3921" w:hanging="420"/>
      </w:pPr>
      <w:rPr>
        <w:rFonts w:hint="eastAsia"/>
      </w:rPr>
    </w:lvl>
    <w:lvl w:ilvl="8" w:tentative="0">
      <w:start w:val="1"/>
      <w:numFmt w:val="lowerRoman"/>
      <w:lvlText w:val="%9."/>
      <w:lvlJc w:val="right"/>
      <w:pPr>
        <w:ind w:left="4341" w:hanging="420"/>
      </w:pPr>
      <w:rPr>
        <w:rFonts w:hint="eastAsia"/>
      </w:rPr>
    </w:lvl>
  </w:abstractNum>
  <w:abstractNum w:abstractNumId="10">
    <w:nsid w:val="49015D7B"/>
    <w:multiLevelType w:val="singleLevel"/>
    <w:tmpl w:val="49015D7B"/>
    <w:lvl w:ilvl="0" w:tentative="0">
      <w:start w:val="1"/>
      <w:numFmt w:val="bullet"/>
      <w:pStyle w:val="39"/>
      <w:lvlText w:val=""/>
      <w:lvlJc w:val="left"/>
      <w:pPr>
        <w:tabs>
          <w:tab w:val="left" w:pos="425"/>
        </w:tabs>
        <w:ind w:left="425" w:hanging="425"/>
      </w:pPr>
      <w:rPr>
        <w:rFonts w:hint="default" w:ascii="Monotype Sorts" w:hAnsi="Monotype Sorts"/>
        <w:sz w:val="16"/>
      </w:rPr>
    </w:lvl>
  </w:abstractNum>
  <w:abstractNum w:abstractNumId="11">
    <w:nsid w:val="4E550C03"/>
    <w:multiLevelType w:val="singleLevel"/>
    <w:tmpl w:val="4E550C03"/>
    <w:lvl w:ilvl="0" w:tentative="0">
      <w:start w:val="1"/>
      <w:numFmt w:val="chineseCounting"/>
      <w:suff w:val="nothing"/>
      <w:lvlText w:val="（%1）"/>
      <w:lvlJc w:val="left"/>
      <w:pPr>
        <w:ind w:left="0" w:firstLine="420"/>
      </w:pPr>
      <w:rPr>
        <w:rFonts w:hint="eastAsia"/>
      </w:rPr>
    </w:lvl>
  </w:abstractNum>
  <w:abstractNum w:abstractNumId="12">
    <w:nsid w:val="57DC4CA0"/>
    <w:multiLevelType w:val="multilevel"/>
    <w:tmpl w:val="57DC4CA0"/>
    <w:lvl w:ilvl="0" w:tentative="0">
      <w:start w:val="1"/>
      <w:numFmt w:val="decimal"/>
      <w:lvlText w:val="%1、"/>
      <w:lvlJc w:val="left"/>
      <w:pPr>
        <w:ind w:left="920" w:hanging="440"/>
      </w:pPr>
      <w:rPr>
        <w:rFonts w:hint="eastAsia"/>
      </w:rPr>
    </w:lvl>
    <w:lvl w:ilvl="1" w:tentative="0">
      <w:start w:val="1"/>
      <w:numFmt w:val="decimal"/>
      <w:lvlText w:val="%2."/>
      <w:lvlJc w:val="left"/>
      <w:pPr>
        <w:ind w:left="865"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58FF67C5"/>
    <w:multiLevelType w:val="multilevel"/>
    <w:tmpl w:val="58FF67C5"/>
    <w:lvl w:ilvl="0" w:tentative="0">
      <w:start w:val="1"/>
      <w:numFmt w:val="decimal"/>
      <w:lvlText w:val="%1."/>
      <w:lvlJc w:val="left"/>
      <w:pPr>
        <w:ind w:left="420" w:hanging="420"/>
      </w:pPr>
    </w:lvl>
    <w:lvl w:ilvl="1" w:tentative="0">
      <w:start w:val="1"/>
      <w:numFmt w:val="decimal"/>
      <w:lvlText w:val="%2)"/>
      <w:lvlJc w:val="left"/>
      <w:pPr>
        <w:tabs>
          <w:tab w:val="left" w:pos="795"/>
        </w:tabs>
        <w:ind w:left="795" w:hanging="375"/>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japaneseCounting"/>
      <w:lvlText w:val="%4、"/>
      <w:lvlJc w:val="left"/>
      <w:pPr>
        <w:ind w:left="1740" w:hanging="480"/>
      </w:pPr>
      <w:rPr>
        <w:rFonts w:hint="default"/>
      </w:rPr>
    </w:lvl>
    <w:lvl w:ilvl="4" w:tentative="0">
      <w:start w:val="1"/>
      <w:numFmt w:val="japaneseCounting"/>
      <w:lvlText w:val="（%5）"/>
      <w:lvlJc w:val="left"/>
      <w:pPr>
        <w:ind w:left="2475" w:hanging="795"/>
      </w:pPr>
      <w:rPr>
        <w:rFonts w:hint="default"/>
      </w:rPr>
    </w:lvl>
    <w:lvl w:ilvl="5" w:tentative="0">
      <w:start w:val="1"/>
      <w:numFmt w:val="decimal"/>
      <w:lvlText w:val="（%6）"/>
      <w:lvlJc w:val="left"/>
      <w:pPr>
        <w:ind w:left="2820" w:hanging="720"/>
      </w:pPr>
      <w:rPr>
        <w:rFonts w:hint="default"/>
      </w:r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410097C"/>
    <w:multiLevelType w:val="multilevel"/>
    <w:tmpl w:val="641009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3B0696"/>
    <w:multiLevelType w:val="multilevel"/>
    <w:tmpl w:val="643B0696"/>
    <w:lvl w:ilvl="0" w:tentative="0">
      <w:start w:val="1"/>
      <w:numFmt w:val="decimal"/>
      <w:lvlText w:val="%1."/>
      <w:lvlJc w:val="left"/>
      <w:pPr>
        <w:ind w:left="420" w:hanging="420"/>
      </w:pPr>
    </w:lvl>
    <w:lvl w:ilvl="1" w:tentative="0">
      <w:start w:val="1"/>
      <w:numFmt w:val="decimal"/>
      <w:lvlText w:val="%2)"/>
      <w:lvlJc w:val="left"/>
      <w:pPr>
        <w:tabs>
          <w:tab w:val="left" w:pos="1275"/>
        </w:tabs>
        <w:ind w:left="1275" w:hanging="855"/>
      </w:pPr>
      <w:rPr>
        <w:rFonts w:hint="default"/>
      </w:rPr>
    </w:lvl>
    <w:lvl w:ilvl="2" w:tentative="0">
      <w:start w:val="1"/>
      <w:numFmt w:val="decimal"/>
      <w:lvlText w:val="%3."/>
      <w:lvlJc w:val="left"/>
      <w:pPr>
        <w:tabs>
          <w:tab w:val="left" w:pos="1260"/>
        </w:tabs>
        <w:ind w:left="1260" w:hanging="420"/>
      </w:pPr>
    </w:lvl>
    <w:lvl w:ilvl="3" w:tentative="0">
      <w:start w:val="1"/>
      <w:numFmt w:val="bullet"/>
      <w:lvlText w:val="●"/>
      <w:lvlJc w:val="left"/>
      <w:pPr>
        <w:tabs>
          <w:tab w:val="left" w:pos="1980"/>
        </w:tabs>
        <w:ind w:left="1980" w:hanging="720"/>
      </w:pPr>
      <w:rPr>
        <w:rFonts w:ascii="宋体" w:hAnsi="宋体" w:eastAsia="宋体" w:cs="Times New Roman"/>
      </w:rPr>
    </w:lvl>
    <w:lvl w:ilvl="4" w:tentative="0">
      <w:start w:val="1"/>
      <w:numFmt w:val="decimalEnclosedCircle"/>
      <w:lvlText w:val="%5"/>
      <w:lvlJc w:val="left"/>
      <w:pPr>
        <w:ind w:left="2040" w:hanging="360"/>
      </w:pPr>
      <w:rPr>
        <w:rFonts w:hint="default"/>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708626C"/>
    <w:multiLevelType w:val="multilevel"/>
    <w:tmpl w:val="670862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8C341DE"/>
    <w:multiLevelType w:val="singleLevel"/>
    <w:tmpl w:val="68C341DE"/>
    <w:lvl w:ilvl="0" w:tentative="0">
      <w:start w:val="1"/>
      <w:numFmt w:val="chineseCounting"/>
      <w:suff w:val="nothing"/>
      <w:lvlText w:val="（%1）"/>
      <w:lvlJc w:val="left"/>
      <w:pPr>
        <w:ind w:left="0" w:firstLine="420"/>
      </w:pPr>
      <w:rPr>
        <w:rFonts w:hint="eastAsia"/>
      </w:rPr>
    </w:lvl>
  </w:abstractNum>
  <w:num w:numId="1">
    <w:abstractNumId w:val="10"/>
  </w:num>
  <w:num w:numId="2">
    <w:abstractNumId w:val="11"/>
  </w:num>
  <w:num w:numId="3">
    <w:abstractNumId w:val="17"/>
  </w:num>
  <w:num w:numId="4">
    <w:abstractNumId w:val="7"/>
  </w:num>
  <w:num w:numId="5">
    <w:abstractNumId w:val="16"/>
  </w:num>
  <w:num w:numId="6">
    <w:abstractNumId w:val="14"/>
  </w:num>
  <w:num w:numId="7">
    <w:abstractNumId w:val="13"/>
  </w:num>
  <w:num w:numId="8">
    <w:abstractNumId w:val="15"/>
  </w:num>
  <w:num w:numId="9">
    <w:abstractNumId w:val="4"/>
  </w:num>
  <w:num w:numId="10">
    <w:abstractNumId w:val="1"/>
  </w:num>
  <w:num w:numId="11">
    <w:abstractNumId w:val="0"/>
  </w:num>
  <w:num w:numId="12">
    <w:abstractNumId w:val="12"/>
  </w:num>
  <w:num w:numId="13">
    <w:abstractNumId w:val="3"/>
  </w:num>
  <w:num w:numId="14">
    <w:abstractNumId w:val="5"/>
  </w:num>
  <w:num w:numId="15">
    <w:abstractNumId w:val="6"/>
  </w:num>
  <w:num w:numId="16">
    <w:abstractNumId w:val="8"/>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41"/>
  <w:drawingGridHorizontalSpacing w:val="120"/>
  <w:drawingGridVerticalSpacing w:val="240"/>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BA"/>
    <w:rsid w:val="00000435"/>
    <w:rsid w:val="0000046F"/>
    <w:rsid w:val="0000062B"/>
    <w:rsid w:val="000008C3"/>
    <w:rsid w:val="00000969"/>
    <w:rsid w:val="00001239"/>
    <w:rsid w:val="00001E5A"/>
    <w:rsid w:val="00001F6D"/>
    <w:rsid w:val="00001FEC"/>
    <w:rsid w:val="000025E3"/>
    <w:rsid w:val="000027AF"/>
    <w:rsid w:val="00003F3C"/>
    <w:rsid w:val="00004A4E"/>
    <w:rsid w:val="00004D73"/>
    <w:rsid w:val="00004D75"/>
    <w:rsid w:val="00005C01"/>
    <w:rsid w:val="0000727E"/>
    <w:rsid w:val="000103BD"/>
    <w:rsid w:val="00011560"/>
    <w:rsid w:val="0001177B"/>
    <w:rsid w:val="00011F4F"/>
    <w:rsid w:val="00014743"/>
    <w:rsid w:val="00016062"/>
    <w:rsid w:val="00017594"/>
    <w:rsid w:val="0001780E"/>
    <w:rsid w:val="00020121"/>
    <w:rsid w:val="00020760"/>
    <w:rsid w:val="00021062"/>
    <w:rsid w:val="00021A37"/>
    <w:rsid w:val="0002434D"/>
    <w:rsid w:val="0002556E"/>
    <w:rsid w:val="00025D6F"/>
    <w:rsid w:val="000269EE"/>
    <w:rsid w:val="0002711C"/>
    <w:rsid w:val="00027CAD"/>
    <w:rsid w:val="00030598"/>
    <w:rsid w:val="0003101B"/>
    <w:rsid w:val="0003193A"/>
    <w:rsid w:val="00031D3C"/>
    <w:rsid w:val="00032374"/>
    <w:rsid w:val="000327CE"/>
    <w:rsid w:val="00034388"/>
    <w:rsid w:val="000351FE"/>
    <w:rsid w:val="0003562A"/>
    <w:rsid w:val="00035EAF"/>
    <w:rsid w:val="000360FE"/>
    <w:rsid w:val="00036525"/>
    <w:rsid w:val="00037148"/>
    <w:rsid w:val="00037EE2"/>
    <w:rsid w:val="0004049E"/>
    <w:rsid w:val="00042046"/>
    <w:rsid w:val="000426FD"/>
    <w:rsid w:val="00042AB8"/>
    <w:rsid w:val="00042EAF"/>
    <w:rsid w:val="00044128"/>
    <w:rsid w:val="00044518"/>
    <w:rsid w:val="00046449"/>
    <w:rsid w:val="00046B0B"/>
    <w:rsid w:val="00050867"/>
    <w:rsid w:val="000509CA"/>
    <w:rsid w:val="00051082"/>
    <w:rsid w:val="0005125D"/>
    <w:rsid w:val="00052173"/>
    <w:rsid w:val="00052277"/>
    <w:rsid w:val="00053DB0"/>
    <w:rsid w:val="00055007"/>
    <w:rsid w:val="0005670D"/>
    <w:rsid w:val="0005798A"/>
    <w:rsid w:val="00060AC0"/>
    <w:rsid w:val="000611AE"/>
    <w:rsid w:val="00061502"/>
    <w:rsid w:val="0006179F"/>
    <w:rsid w:val="00062463"/>
    <w:rsid w:val="00063022"/>
    <w:rsid w:val="000635A4"/>
    <w:rsid w:val="00063708"/>
    <w:rsid w:val="000646AE"/>
    <w:rsid w:val="000654BF"/>
    <w:rsid w:val="00066650"/>
    <w:rsid w:val="00066C7B"/>
    <w:rsid w:val="00067503"/>
    <w:rsid w:val="00071147"/>
    <w:rsid w:val="000711E7"/>
    <w:rsid w:val="00073987"/>
    <w:rsid w:val="00074584"/>
    <w:rsid w:val="00074C4E"/>
    <w:rsid w:val="000768DD"/>
    <w:rsid w:val="000769A9"/>
    <w:rsid w:val="00076E18"/>
    <w:rsid w:val="0007717C"/>
    <w:rsid w:val="0007764E"/>
    <w:rsid w:val="0007783F"/>
    <w:rsid w:val="00080AF6"/>
    <w:rsid w:val="00080D94"/>
    <w:rsid w:val="00081CBF"/>
    <w:rsid w:val="00081DC3"/>
    <w:rsid w:val="00082742"/>
    <w:rsid w:val="00082910"/>
    <w:rsid w:val="0008317A"/>
    <w:rsid w:val="000857A8"/>
    <w:rsid w:val="00086600"/>
    <w:rsid w:val="00091EDB"/>
    <w:rsid w:val="00092A54"/>
    <w:rsid w:val="00093293"/>
    <w:rsid w:val="00094C6E"/>
    <w:rsid w:val="00095224"/>
    <w:rsid w:val="00095BB8"/>
    <w:rsid w:val="00096E32"/>
    <w:rsid w:val="0009752F"/>
    <w:rsid w:val="000976ED"/>
    <w:rsid w:val="000A014D"/>
    <w:rsid w:val="000A0ABF"/>
    <w:rsid w:val="000A11D7"/>
    <w:rsid w:val="000A2B0B"/>
    <w:rsid w:val="000A3144"/>
    <w:rsid w:val="000A469E"/>
    <w:rsid w:val="000A53FB"/>
    <w:rsid w:val="000A5AE9"/>
    <w:rsid w:val="000A66B2"/>
    <w:rsid w:val="000A6ED5"/>
    <w:rsid w:val="000A7238"/>
    <w:rsid w:val="000A75FB"/>
    <w:rsid w:val="000B020D"/>
    <w:rsid w:val="000B112A"/>
    <w:rsid w:val="000B112E"/>
    <w:rsid w:val="000B182E"/>
    <w:rsid w:val="000B190D"/>
    <w:rsid w:val="000B1D33"/>
    <w:rsid w:val="000B301C"/>
    <w:rsid w:val="000B3271"/>
    <w:rsid w:val="000B3B91"/>
    <w:rsid w:val="000B3D4E"/>
    <w:rsid w:val="000B4967"/>
    <w:rsid w:val="000B5980"/>
    <w:rsid w:val="000B5E16"/>
    <w:rsid w:val="000B5E6F"/>
    <w:rsid w:val="000B6054"/>
    <w:rsid w:val="000B641E"/>
    <w:rsid w:val="000B708B"/>
    <w:rsid w:val="000B739C"/>
    <w:rsid w:val="000C0105"/>
    <w:rsid w:val="000C1806"/>
    <w:rsid w:val="000C1C38"/>
    <w:rsid w:val="000C2022"/>
    <w:rsid w:val="000C2188"/>
    <w:rsid w:val="000C3253"/>
    <w:rsid w:val="000C3C6C"/>
    <w:rsid w:val="000C4D41"/>
    <w:rsid w:val="000C5206"/>
    <w:rsid w:val="000C587F"/>
    <w:rsid w:val="000C5C53"/>
    <w:rsid w:val="000C6821"/>
    <w:rsid w:val="000C6B95"/>
    <w:rsid w:val="000C715E"/>
    <w:rsid w:val="000D03F3"/>
    <w:rsid w:val="000D16B0"/>
    <w:rsid w:val="000D19C7"/>
    <w:rsid w:val="000D1A42"/>
    <w:rsid w:val="000D25E4"/>
    <w:rsid w:val="000D297C"/>
    <w:rsid w:val="000D301E"/>
    <w:rsid w:val="000D3701"/>
    <w:rsid w:val="000D46E1"/>
    <w:rsid w:val="000D4CDC"/>
    <w:rsid w:val="000D4D83"/>
    <w:rsid w:val="000D53D4"/>
    <w:rsid w:val="000D598A"/>
    <w:rsid w:val="000D5BC9"/>
    <w:rsid w:val="000D7307"/>
    <w:rsid w:val="000D76DA"/>
    <w:rsid w:val="000D7A9D"/>
    <w:rsid w:val="000D7EE1"/>
    <w:rsid w:val="000E10B6"/>
    <w:rsid w:val="000E18FB"/>
    <w:rsid w:val="000E1FF5"/>
    <w:rsid w:val="000E2079"/>
    <w:rsid w:val="000E3BE0"/>
    <w:rsid w:val="000E4647"/>
    <w:rsid w:val="000E4EAD"/>
    <w:rsid w:val="000E5157"/>
    <w:rsid w:val="000E5D88"/>
    <w:rsid w:val="000E640E"/>
    <w:rsid w:val="000E703D"/>
    <w:rsid w:val="000E7750"/>
    <w:rsid w:val="000E7A35"/>
    <w:rsid w:val="000F02FB"/>
    <w:rsid w:val="000F09B2"/>
    <w:rsid w:val="000F2042"/>
    <w:rsid w:val="000F2661"/>
    <w:rsid w:val="000F3098"/>
    <w:rsid w:val="000F32F6"/>
    <w:rsid w:val="000F4B19"/>
    <w:rsid w:val="000F531A"/>
    <w:rsid w:val="000F5C23"/>
    <w:rsid w:val="000F6962"/>
    <w:rsid w:val="000F6B69"/>
    <w:rsid w:val="000F6F58"/>
    <w:rsid w:val="0010034D"/>
    <w:rsid w:val="0010084C"/>
    <w:rsid w:val="0010087A"/>
    <w:rsid w:val="00101406"/>
    <w:rsid w:val="00101A6E"/>
    <w:rsid w:val="00102046"/>
    <w:rsid w:val="00102734"/>
    <w:rsid w:val="00104C93"/>
    <w:rsid w:val="00106B7C"/>
    <w:rsid w:val="00106C95"/>
    <w:rsid w:val="001102E7"/>
    <w:rsid w:val="001109BE"/>
    <w:rsid w:val="00110A96"/>
    <w:rsid w:val="00111C04"/>
    <w:rsid w:val="0011249E"/>
    <w:rsid w:val="00112FAB"/>
    <w:rsid w:val="00113BDC"/>
    <w:rsid w:val="00113EAD"/>
    <w:rsid w:val="001168A9"/>
    <w:rsid w:val="00117299"/>
    <w:rsid w:val="0012136F"/>
    <w:rsid w:val="00121B3A"/>
    <w:rsid w:val="00121F9D"/>
    <w:rsid w:val="001232C5"/>
    <w:rsid w:val="00124160"/>
    <w:rsid w:val="001248D9"/>
    <w:rsid w:val="001256F6"/>
    <w:rsid w:val="00127007"/>
    <w:rsid w:val="00127214"/>
    <w:rsid w:val="0013095C"/>
    <w:rsid w:val="00131127"/>
    <w:rsid w:val="001328AF"/>
    <w:rsid w:val="00132F0F"/>
    <w:rsid w:val="00132F3B"/>
    <w:rsid w:val="0013300D"/>
    <w:rsid w:val="00133F98"/>
    <w:rsid w:val="00134112"/>
    <w:rsid w:val="00134283"/>
    <w:rsid w:val="00134435"/>
    <w:rsid w:val="001349B6"/>
    <w:rsid w:val="001363FA"/>
    <w:rsid w:val="00136C4A"/>
    <w:rsid w:val="00141667"/>
    <w:rsid w:val="00141942"/>
    <w:rsid w:val="001419B1"/>
    <w:rsid w:val="0014286B"/>
    <w:rsid w:val="00142B59"/>
    <w:rsid w:val="00142DD3"/>
    <w:rsid w:val="0014370E"/>
    <w:rsid w:val="0014572A"/>
    <w:rsid w:val="00145BD5"/>
    <w:rsid w:val="00145BDF"/>
    <w:rsid w:val="00146496"/>
    <w:rsid w:val="00146759"/>
    <w:rsid w:val="00151029"/>
    <w:rsid w:val="00152C78"/>
    <w:rsid w:val="00152DA5"/>
    <w:rsid w:val="001538D5"/>
    <w:rsid w:val="001545BF"/>
    <w:rsid w:val="001545C7"/>
    <w:rsid w:val="0015499C"/>
    <w:rsid w:val="00154B3C"/>
    <w:rsid w:val="00156FA1"/>
    <w:rsid w:val="0016067B"/>
    <w:rsid w:val="001609B2"/>
    <w:rsid w:val="0016102F"/>
    <w:rsid w:val="001630C8"/>
    <w:rsid w:val="00163791"/>
    <w:rsid w:val="00164D6C"/>
    <w:rsid w:val="0016560A"/>
    <w:rsid w:val="00165B89"/>
    <w:rsid w:val="00167343"/>
    <w:rsid w:val="00167B3C"/>
    <w:rsid w:val="0017046E"/>
    <w:rsid w:val="00170822"/>
    <w:rsid w:val="00170DD0"/>
    <w:rsid w:val="00171E4D"/>
    <w:rsid w:val="00173693"/>
    <w:rsid w:val="00173870"/>
    <w:rsid w:val="00180635"/>
    <w:rsid w:val="001825A6"/>
    <w:rsid w:val="00183FF1"/>
    <w:rsid w:val="00185314"/>
    <w:rsid w:val="001856EB"/>
    <w:rsid w:val="00185785"/>
    <w:rsid w:val="00185F65"/>
    <w:rsid w:val="00186900"/>
    <w:rsid w:val="00186C49"/>
    <w:rsid w:val="0019089E"/>
    <w:rsid w:val="00192154"/>
    <w:rsid w:val="001922FD"/>
    <w:rsid w:val="001932A4"/>
    <w:rsid w:val="00194316"/>
    <w:rsid w:val="0019464C"/>
    <w:rsid w:val="001947ED"/>
    <w:rsid w:val="00194D38"/>
    <w:rsid w:val="00195BBE"/>
    <w:rsid w:val="00196AAB"/>
    <w:rsid w:val="001973B1"/>
    <w:rsid w:val="001973C5"/>
    <w:rsid w:val="0019784E"/>
    <w:rsid w:val="00197C08"/>
    <w:rsid w:val="001A101E"/>
    <w:rsid w:val="001A1382"/>
    <w:rsid w:val="001A2533"/>
    <w:rsid w:val="001A4084"/>
    <w:rsid w:val="001A625F"/>
    <w:rsid w:val="001A6CE4"/>
    <w:rsid w:val="001A6EE6"/>
    <w:rsid w:val="001A7979"/>
    <w:rsid w:val="001A7A6D"/>
    <w:rsid w:val="001A7A9B"/>
    <w:rsid w:val="001B02BD"/>
    <w:rsid w:val="001B034D"/>
    <w:rsid w:val="001B0D8C"/>
    <w:rsid w:val="001B0E38"/>
    <w:rsid w:val="001B0EE7"/>
    <w:rsid w:val="001B1173"/>
    <w:rsid w:val="001B2022"/>
    <w:rsid w:val="001B21F5"/>
    <w:rsid w:val="001B23D5"/>
    <w:rsid w:val="001B2BB8"/>
    <w:rsid w:val="001B39DF"/>
    <w:rsid w:val="001B4323"/>
    <w:rsid w:val="001B5131"/>
    <w:rsid w:val="001B5245"/>
    <w:rsid w:val="001B73CC"/>
    <w:rsid w:val="001C0028"/>
    <w:rsid w:val="001C1676"/>
    <w:rsid w:val="001C22A2"/>
    <w:rsid w:val="001C478D"/>
    <w:rsid w:val="001C5BA1"/>
    <w:rsid w:val="001C5E61"/>
    <w:rsid w:val="001C6A3F"/>
    <w:rsid w:val="001C6F36"/>
    <w:rsid w:val="001C7EFE"/>
    <w:rsid w:val="001D054A"/>
    <w:rsid w:val="001D19D7"/>
    <w:rsid w:val="001D3141"/>
    <w:rsid w:val="001D547C"/>
    <w:rsid w:val="001D5B60"/>
    <w:rsid w:val="001D75BE"/>
    <w:rsid w:val="001E0534"/>
    <w:rsid w:val="001E09B2"/>
    <w:rsid w:val="001E1222"/>
    <w:rsid w:val="001E2414"/>
    <w:rsid w:val="001E26A9"/>
    <w:rsid w:val="001E3293"/>
    <w:rsid w:val="001E4EDB"/>
    <w:rsid w:val="001E5747"/>
    <w:rsid w:val="001E58A5"/>
    <w:rsid w:val="001E72D1"/>
    <w:rsid w:val="001E7C35"/>
    <w:rsid w:val="001E7DE4"/>
    <w:rsid w:val="001E7F43"/>
    <w:rsid w:val="001F006A"/>
    <w:rsid w:val="001F050D"/>
    <w:rsid w:val="001F19B5"/>
    <w:rsid w:val="001F201B"/>
    <w:rsid w:val="001F25FD"/>
    <w:rsid w:val="001F27BD"/>
    <w:rsid w:val="001F2C13"/>
    <w:rsid w:val="001F326F"/>
    <w:rsid w:val="001F38CC"/>
    <w:rsid w:val="001F3ADF"/>
    <w:rsid w:val="001F40AB"/>
    <w:rsid w:val="001F4C5F"/>
    <w:rsid w:val="001F6BAB"/>
    <w:rsid w:val="002005C2"/>
    <w:rsid w:val="002048AB"/>
    <w:rsid w:val="002052E2"/>
    <w:rsid w:val="00205B70"/>
    <w:rsid w:val="00206516"/>
    <w:rsid w:val="002066AA"/>
    <w:rsid w:val="00211D85"/>
    <w:rsid w:val="00212B0D"/>
    <w:rsid w:val="002143DE"/>
    <w:rsid w:val="00214976"/>
    <w:rsid w:val="002162C5"/>
    <w:rsid w:val="002164A9"/>
    <w:rsid w:val="002169AB"/>
    <w:rsid w:val="00217A1C"/>
    <w:rsid w:val="00217CEA"/>
    <w:rsid w:val="00220EB0"/>
    <w:rsid w:val="00221671"/>
    <w:rsid w:val="00221E5A"/>
    <w:rsid w:val="002220A7"/>
    <w:rsid w:val="00222329"/>
    <w:rsid w:val="00223986"/>
    <w:rsid w:val="00223BFD"/>
    <w:rsid w:val="00223CDB"/>
    <w:rsid w:val="0022402D"/>
    <w:rsid w:val="002265EE"/>
    <w:rsid w:val="00226FBA"/>
    <w:rsid w:val="00227EDE"/>
    <w:rsid w:val="00234FA2"/>
    <w:rsid w:val="0023527D"/>
    <w:rsid w:val="002353FC"/>
    <w:rsid w:val="00235641"/>
    <w:rsid w:val="002362FB"/>
    <w:rsid w:val="00236DA0"/>
    <w:rsid w:val="0023712F"/>
    <w:rsid w:val="002376FA"/>
    <w:rsid w:val="00240686"/>
    <w:rsid w:val="00241DE2"/>
    <w:rsid w:val="00241F46"/>
    <w:rsid w:val="00242D86"/>
    <w:rsid w:val="002445C3"/>
    <w:rsid w:val="00245543"/>
    <w:rsid w:val="00247ADA"/>
    <w:rsid w:val="00247B9B"/>
    <w:rsid w:val="00247BBF"/>
    <w:rsid w:val="00250C03"/>
    <w:rsid w:val="00251099"/>
    <w:rsid w:val="0025112B"/>
    <w:rsid w:val="0025182C"/>
    <w:rsid w:val="00254383"/>
    <w:rsid w:val="00254568"/>
    <w:rsid w:val="002566E5"/>
    <w:rsid w:val="00256CF6"/>
    <w:rsid w:val="00256F82"/>
    <w:rsid w:val="002612FE"/>
    <w:rsid w:val="00261BD1"/>
    <w:rsid w:val="00261D7C"/>
    <w:rsid w:val="00262369"/>
    <w:rsid w:val="00262494"/>
    <w:rsid w:val="00262777"/>
    <w:rsid w:val="00262A38"/>
    <w:rsid w:val="002630D1"/>
    <w:rsid w:val="00263232"/>
    <w:rsid w:val="00263495"/>
    <w:rsid w:val="00263A52"/>
    <w:rsid w:val="00263D33"/>
    <w:rsid w:val="00264738"/>
    <w:rsid w:val="0026640C"/>
    <w:rsid w:val="00266A31"/>
    <w:rsid w:val="00267724"/>
    <w:rsid w:val="002677B3"/>
    <w:rsid w:val="002677C9"/>
    <w:rsid w:val="002707F8"/>
    <w:rsid w:val="002716E9"/>
    <w:rsid w:val="002727F1"/>
    <w:rsid w:val="0027291C"/>
    <w:rsid w:val="00274331"/>
    <w:rsid w:val="00274350"/>
    <w:rsid w:val="00274779"/>
    <w:rsid w:val="00274FF4"/>
    <w:rsid w:val="00275564"/>
    <w:rsid w:val="002759B1"/>
    <w:rsid w:val="002766FA"/>
    <w:rsid w:val="00276813"/>
    <w:rsid w:val="00276F00"/>
    <w:rsid w:val="002772E8"/>
    <w:rsid w:val="002778BD"/>
    <w:rsid w:val="00280E91"/>
    <w:rsid w:val="0028102E"/>
    <w:rsid w:val="00281EDC"/>
    <w:rsid w:val="002824E8"/>
    <w:rsid w:val="002828C1"/>
    <w:rsid w:val="002832F1"/>
    <w:rsid w:val="00283B8D"/>
    <w:rsid w:val="00284BB2"/>
    <w:rsid w:val="0028632F"/>
    <w:rsid w:val="00286A82"/>
    <w:rsid w:val="00286D6E"/>
    <w:rsid w:val="002902BC"/>
    <w:rsid w:val="00290C2A"/>
    <w:rsid w:val="0029311D"/>
    <w:rsid w:val="00293125"/>
    <w:rsid w:val="00293375"/>
    <w:rsid w:val="00293C39"/>
    <w:rsid w:val="00294D6D"/>
    <w:rsid w:val="00295287"/>
    <w:rsid w:val="00295733"/>
    <w:rsid w:val="00295D9D"/>
    <w:rsid w:val="00297F5A"/>
    <w:rsid w:val="002A00B5"/>
    <w:rsid w:val="002A1C16"/>
    <w:rsid w:val="002A284F"/>
    <w:rsid w:val="002A49F4"/>
    <w:rsid w:val="002A4BDC"/>
    <w:rsid w:val="002A580A"/>
    <w:rsid w:val="002A5FEE"/>
    <w:rsid w:val="002A645B"/>
    <w:rsid w:val="002A6955"/>
    <w:rsid w:val="002A69DD"/>
    <w:rsid w:val="002A79F3"/>
    <w:rsid w:val="002A7F21"/>
    <w:rsid w:val="002B09AC"/>
    <w:rsid w:val="002B1035"/>
    <w:rsid w:val="002B1237"/>
    <w:rsid w:val="002B13A6"/>
    <w:rsid w:val="002B2594"/>
    <w:rsid w:val="002B3F85"/>
    <w:rsid w:val="002B443F"/>
    <w:rsid w:val="002B69CE"/>
    <w:rsid w:val="002B781D"/>
    <w:rsid w:val="002B7A5C"/>
    <w:rsid w:val="002B7E40"/>
    <w:rsid w:val="002C052B"/>
    <w:rsid w:val="002C0668"/>
    <w:rsid w:val="002C2464"/>
    <w:rsid w:val="002C2DB0"/>
    <w:rsid w:val="002C2EB2"/>
    <w:rsid w:val="002C3503"/>
    <w:rsid w:val="002C3849"/>
    <w:rsid w:val="002C4187"/>
    <w:rsid w:val="002C4DD4"/>
    <w:rsid w:val="002C5B19"/>
    <w:rsid w:val="002C6F31"/>
    <w:rsid w:val="002C7141"/>
    <w:rsid w:val="002D1945"/>
    <w:rsid w:val="002D1B86"/>
    <w:rsid w:val="002D2073"/>
    <w:rsid w:val="002D3298"/>
    <w:rsid w:val="002D3615"/>
    <w:rsid w:val="002D606B"/>
    <w:rsid w:val="002D6202"/>
    <w:rsid w:val="002D66D0"/>
    <w:rsid w:val="002D6BD2"/>
    <w:rsid w:val="002D6BF0"/>
    <w:rsid w:val="002E047C"/>
    <w:rsid w:val="002E1070"/>
    <w:rsid w:val="002E3CC2"/>
    <w:rsid w:val="002E63DB"/>
    <w:rsid w:val="002E6D3E"/>
    <w:rsid w:val="002E6D9D"/>
    <w:rsid w:val="002E6F2D"/>
    <w:rsid w:val="002E6F58"/>
    <w:rsid w:val="002E7E71"/>
    <w:rsid w:val="002F0C3B"/>
    <w:rsid w:val="002F194E"/>
    <w:rsid w:val="002F1F93"/>
    <w:rsid w:val="002F2B02"/>
    <w:rsid w:val="002F32E6"/>
    <w:rsid w:val="002F33DA"/>
    <w:rsid w:val="002F37DA"/>
    <w:rsid w:val="002F4B70"/>
    <w:rsid w:val="002F52BC"/>
    <w:rsid w:val="002F5780"/>
    <w:rsid w:val="002F6156"/>
    <w:rsid w:val="002F6BAA"/>
    <w:rsid w:val="003023FD"/>
    <w:rsid w:val="003024E2"/>
    <w:rsid w:val="00303728"/>
    <w:rsid w:val="00303B4A"/>
    <w:rsid w:val="00303F17"/>
    <w:rsid w:val="0030419A"/>
    <w:rsid w:val="0030446A"/>
    <w:rsid w:val="00304513"/>
    <w:rsid w:val="0030516D"/>
    <w:rsid w:val="003055FB"/>
    <w:rsid w:val="00306088"/>
    <w:rsid w:val="003065E7"/>
    <w:rsid w:val="0030676B"/>
    <w:rsid w:val="00306820"/>
    <w:rsid w:val="00307E42"/>
    <w:rsid w:val="00310358"/>
    <w:rsid w:val="00310B32"/>
    <w:rsid w:val="00311053"/>
    <w:rsid w:val="00312527"/>
    <w:rsid w:val="00313270"/>
    <w:rsid w:val="00314E25"/>
    <w:rsid w:val="003156C1"/>
    <w:rsid w:val="00316BE5"/>
    <w:rsid w:val="00316CC7"/>
    <w:rsid w:val="0032014D"/>
    <w:rsid w:val="00320426"/>
    <w:rsid w:val="003217D9"/>
    <w:rsid w:val="00321C47"/>
    <w:rsid w:val="00321E82"/>
    <w:rsid w:val="0032482E"/>
    <w:rsid w:val="00324B5B"/>
    <w:rsid w:val="003262F1"/>
    <w:rsid w:val="00326525"/>
    <w:rsid w:val="0032675B"/>
    <w:rsid w:val="0032729D"/>
    <w:rsid w:val="00327D32"/>
    <w:rsid w:val="003313EA"/>
    <w:rsid w:val="003314CC"/>
    <w:rsid w:val="00331CE1"/>
    <w:rsid w:val="00333599"/>
    <w:rsid w:val="00333B0D"/>
    <w:rsid w:val="003341A0"/>
    <w:rsid w:val="00335FBF"/>
    <w:rsid w:val="00337670"/>
    <w:rsid w:val="00340400"/>
    <w:rsid w:val="00341576"/>
    <w:rsid w:val="003467DD"/>
    <w:rsid w:val="00346A7A"/>
    <w:rsid w:val="00347181"/>
    <w:rsid w:val="00347198"/>
    <w:rsid w:val="00347518"/>
    <w:rsid w:val="00347FBE"/>
    <w:rsid w:val="00350212"/>
    <w:rsid w:val="00350E34"/>
    <w:rsid w:val="00351881"/>
    <w:rsid w:val="0035357B"/>
    <w:rsid w:val="00353C25"/>
    <w:rsid w:val="00356253"/>
    <w:rsid w:val="00356F4F"/>
    <w:rsid w:val="00360BC1"/>
    <w:rsid w:val="0036125D"/>
    <w:rsid w:val="003618EA"/>
    <w:rsid w:val="00362010"/>
    <w:rsid w:val="00362EA9"/>
    <w:rsid w:val="00363DD7"/>
    <w:rsid w:val="003661E0"/>
    <w:rsid w:val="003662B7"/>
    <w:rsid w:val="003669C9"/>
    <w:rsid w:val="00366C54"/>
    <w:rsid w:val="00366FC2"/>
    <w:rsid w:val="00367289"/>
    <w:rsid w:val="00367952"/>
    <w:rsid w:val="00367C36"/>
    <w:rsid w:val="00367FAC"/>
    <w:rsid w:val="00371045"/>
    <w:rsid w:val="00371932"/>
    <w:rsid w:val="00373829"/>
    <w:rsid w:val="00373C00"/>
    <w:rsid w:val="00373C40"/>
    <w:rsid w:val="00373CDC"/>
    <w:rsid w:val="00374017"/>
    <w:rsid w:val="00376CF2"/>
    <w:rsid w:val="00377141"/>
    <w:rsid w:val="00377D57"/>
    <w:rsid w:val="003802C6"/>
    <w:rsid w:val="003815C7"/>
    <w:rsid w:val="0038177F"/>
    <w:rsid w:val="00381786"/>
    <w:rsid w:val="00385996"/>
    <w:rsid w:val="00386E34"/>
    <w:rsid w:val="00390513"/>
    <w:rsid w:val="003911FA"/>
    <w:rsid w:val="003918C5"/>
    <w:rsid w:val="00391DB7"/>
    <w:rsid w:val="00391FFB"/>
    <w:rsid w:val="00393089"/>
    <w:rsid w:val="00393CDC"/>
    <w:rsid w:val="00393D43"/>
    <w:rsid w:val="00393D65"/>
    <w:rsid w:val="00393DC3"/>
    <w:rsid w:val="00395CEE"/>
    <w:rsid w:val="0039735E"/>
    <w:rsid w:val="00397380"/>
    <w:rsid w:val="00397628"/>
    <w:rsid w:val="00397EC7"/>
    <w:rsid w:val="003A051F"/>
    <w:rsid w:val="003A0EE7"/>
    <w:rsid w:val="003A1B9E"/>
    <w:rsid w:val="003A2C08"/>
    <w:rsid w:val="003A3DB4"/>
    <w:rsid w:val="003A55B3"/>
    <w:rsid w:val="003A5C4B"/>
    <w:rsid w:val="003A64E9"/>
    <w:rsid w:val="003A76C7"/>
    <w:rsid w:val="003B1769"/>
    <w:rsid w:val="003B498A"/>
    <w:rsid w:val="003B554C"/>
    <w:rsid w:val="003B55CE"/>
    <w:rsid w:val="003B6254"/>
    <w:rsid w:val="003C1205"/>
    <w:rsid w:val="003C1508"/>
    <w:rsid w:val="003C347E"/>
    <w:rsid w:val="003C3F04"/>
    <w:rsid w:val="003C4318"/>
    <w:rsid w:val="003C4319"/>
    <w:rsid w:val="003C45DD"/>
    <w:rsid w:val="003C4738"/>
    <w:rsid w:val="003C4D24"/>
    <w:rsid w:val="003C4EFF"/>
    <w:rsid w:val="003C5B65"/>
    <w:rsid w:val="003C6D58"/>
    <w:rsid w:val="003C784B"/>
    <w:rsid w:val="003C7FF3"/>
    <w:rsid w:val="003D0729"/>
    <w:rsid w:val="003D075E"/>
    <w:rsid w:val="003D2BF0"/>
    <w:rsid w:val="003D2FB4"/>
    <w:rsid w:val="003D4351"/>
    <w:rsid w:val="003D45A2"/>
    <w:rsid w:val="003D4C40"/>
    <w:rsid w:val="003D5D30"/>
    <w:rsid w:val="003D5E28"/>
    <w:rsid w:val="003D5E76"/>
    <w:rsid w:val="003D7B3C"/>
    <w:rsid w:val="003D7F99"/>
    <w:rsid w:val="003E07B5"/>
    <w:rsid w:val="003E0CDA"/>
    <w:rsid w:val="003E1293"/>
    <w:rsid w:val="003E1C01"/>
    <w:rsid w:val="003E2017"/>
    <w:rsid w:val="003E2172"/>
    <w:rsid w:val="003E3B47"/>
    <w:rsid w:val="003E47A6"/>
    <w:rsid w:val="003E5715"/>
    <w:rsid w:val="003E5EE8"/>
    <w:rsid w:val="003E6B8B"/>
    <w:rsid w:val="003E6FE1"/>
    <w:rsid w:val="003F10EA"/>
    <w:rsid w:val="003F2145"/>
    <w:rsid w:val="003F33E3"/>
    <w:rsid w:val="003F34E2"/>
    <w:rsid w:val="003F351F"/>
    <w:rsid w:val="003F3DD6"/>
    <w:rsid w:val="003F44E5"/>
    <w:rsid w:val="003F4D28"/>
    <w:rsid w:val="003F4FBF"/>
    <w:rsid w:val="003F6C43"/>
    <w:rsid w:val="003F7149"/>
    <w:rsid w:val="003F7B4D"/>
    <w:rsid w:val="004000B5"/>
    <w:rsid w:val="004001A9"/>
    <w:rsid w:val="00400814"/>
    <w:rsid w:val="00401500"/>
    <w:rsid w:val="004027BF"/>
    <w:rsid w:val="00402ECD"/>
    <w:rsid w:val="004035E5"/>
    <w:rsid w:val="00404BF5"/>
    <w:rsid w:val="00404BFF"/>
    <w:rsid w:val="004057DC"/>
    <w:rsid w:val="00406E34"/>
    <w:rsid w:val="00407106"/>
    <w:rsid w:val="00407297"/>
    <w:rsid w:val="0040750B"/>
    <w:rsid w:val="00407648"/>
    <w:rsid w:val="00407B52"/>
    <w:rsid w:val="00411509"/>
    <w:rsid w:val="0041151C"/>
    <w:rsid w:val="00412E1D"/>
    <w:rsid w:val="0041331F"/>
    <w:rsid w:val="00413D72"/>
    <w:rsid w:val="004147E0"/>
    <w:rsid w:val="00414C1D"/>
    <w:rsid w:val="00415514"/>
    <w:rsid w:val="0041683A"/>
    <w:rsid w:val="00417762"/>
    <w:rsid w:val="00417882"/>
    <w:rsid w:val="00421825"/>
    <w:rsid w:val="00423AB9"/>
    <w:rsid w:val="00424810"/>
    <w:rsid w:val="00425086"/>
    <w:rsid w:val="00425EC5"/>
    <w:rsid w:val="004264CD"/>
    <w:rsid w:val="00427513"/>
    <w:rsid w:val="00432873"/>
    <w:rsid w:val="0043293A"/>
    <w:rsid w:val="00432C56"/>
    <w:rsid w:val="0043339D"/>
    <w:rsid w:val="00433C3C"/>
    <w:rsid w:val="00433D9A"/>
    <w:rsid w:val="004345F3"/>
    <w:rsid w:val="00435469"/>
    <w:rsid w:val="004361C3"/>
    <w:rsid w:val="00436213"/>
    <w:rsid w:val="00437EF3"/>
    <w:rsid w:val="004419B8"/>
    <w:rsid w:val="004427E8"/>
    <w:rsid w:val="004430BC"/>
    <w:rsid w:val="0044464C"/>
    <w:rsid w:val="004458A3"/>
    <w:rsid w:val="004460B9"/>
    <w:rsid w:val="0044782C"/>
    <w:rsid w:val="0045055C"/>
    <w:rsid w:val="00451C08"/>
    <w:rsid w:val="00451F88"/>
    <w:rsid w:val="004523EB"/>
    <w:rsid w:val="00453BF9"/>
    <w:rsid w:val="00454605"/>
    <w:rsid w:val="00454E43"/>
    <w:rsid w:val="004571F4"/>
    <w:rsid w:val="00457AE4"/>
    <w:rsid w:val="00457C94"/>
    <w:rsid w:val="00462BC9"/>
    <w:rsid w:val="00462E6C"/>
    <w:rsid w:val="004633D8"/>
    <w:rsid w:val="00464953"/>
    <w:rsid w:val="00464DC4"/>
    <w:rsid w:val="00467981"/>
    <w:rsid w:val="00472127"/>
    <w:rsid w:val="00474024"/>
    <w:rsid w:val="00474488"/>
    <w:rsid w:val="004759C4"/>
    <w:rsid w:val="004764DF"/>
    <w:rsid w:val="004770C6"/>
    <w:rsid w:val="00480F3F"/>
    <w:rsid w:val="004811BF"/>
    <w:rsid w:val="00481D36"/>
    <w:rsid w:val="00482271"/>
    <w:rsid w:val="00482663"/>
    <w:rsid w:val="004832D9"/>
    <w:rsid w:val="0048373B"/>
    <w:rsid w:val="00483BCA"/>
    <w:rsid w:val="00485257"/>
    <w:rsid w:val="0048586A"/>
    <w:rsid w:val="00486167"/>
    <w:rsid w:val="00486A33"/>
    <w:rsid w:val="00486C58"/>
    <w:rsid w:val="0048779F"/>
    <w:rsid w:val="00487BE5"/>
    <w:rsid w:val="004901E7"/>
    <w:rsid w:val="00490448"/>
    <w:rsid w:val="00490909"/>
    <w:rsid w:val="00493814"/>
    <w:rsid w:val="00493929"/>
    <w:rsid w:val="00494064"/>
    <w:rsid w:val="004954D5"/>
    <w:rsid w:val="00495EC6"/>
    <w:rsid w:val="004967A5"/>
    <w:rsid w:val="00497230"/>
    <w:rsid w:val="004A0229"/>
    <w:rsid w:val="004A0991"/>
    <w:rsid w:val="004A16C6"/>
    <w:rsid w:val="004A1AC6"/>
    <w:rsid w:val="004A2212"/>
    <w:rsid w:val="004A2F98"/>
    <w:rsid w:val="004A38B1"/>
    <w:rsid w:val="004A3931"/>
    <w:rsid w:val="004A39DB"/>
    <w:rsid w:val="004A4724"/>
    <w:rsid w:val="004A5E7B"/>
    <w:rsid w:val="004A694A"/>
    <w:rsid w:val="004A7EDE"/>
    <w:rsid w:val="004B0A3B"/>
    <w:rsid w:val="004B0C3B"/>
    <w:rsid w:val="004B143D"/>
    <w:rsid w:val="004B1B72"/>
    <w:rsid w:val="004B1EEC"/>
    <w:rsid w:val="004B2016"/>
    <w:rsid w:val="004B2E51"/>
    <w:rsid w:val="004B2F74"/>
    <w:rsid w:val="004B3323"/>
    <w:rsid w:val="004B40DE"/>
    <w:rsid w:val="004B6060"/>
    <w:rsid w:val="004B6895"/>
    <w:rsid w:val="004C1569"/>
    <w:rsid w:val="004C20C4"/>
    <w:rsid w:val="004C2122"/>
    <w:rsid w:val="004C21A8"/>
    <w:rsid w:val="004C33C7"/>
    <w:rsid w:val="004C36A7"/>
    <w:rsid w:val="004C371D"/>
    <w:rsid w:val="004C4772"/>
    <w:rsid w:val="004C47EB"/>
    <w:rsid w:val="004C7B3A"/>
    <w:rsid w:val="004D0862"/>
    <w:rsid w:val="004D2F10"/>
    <w:rsid w:val="004D40B5"/>
    <w:rsid w:val="004D4D71"/>
    <w:rsid w:val="004D50F8"/>
    <w:rsid w:val="004D60FD"/>
    <w:rsid w:val="004D61E6"/>
    <w:rsid w:val="004D6953"/>
    <w:rsid w:val="004D6D81"/>
    <w:rsid w:val="004D72D0"/>
    <w:rsid w:val="004D7607"/>
    <w:rsid w:val="004E0720"/>
    <w:rsid w:val="004E1A65"/>
    <w:rsid w:val="004E2674"/>
    <w:rsid w:val="004E354E"/>
    <w:rsid w:val="004E4E2D"/>
    <w:rsid w:val="004E5976"/>
    <w:rsid w:val="004E5EEF"/>
    <w:rsid w:val="004E5F75"/>
    <w:rsid w:val="004E666A"/>
    <w:rsid w:val="004E6F27"/>
    <w:rsid w:val="004F16DD"/>
    <w:rsid w:val="004F23A1"/>
    <w:rsid w:val="004F3624"/>
    <w:rsid w:val="004F47B9"/>
    <w:rsid w:val="004F47EC"/>
    <w:rsid w:val="004F54C6"/>
    <w:rsid w:val="004F6ABE"/>
    <w:rsid w:val="005002BB"/>
    <w:rsid w:val="005013F1"/>
    <w:rsid w:val="00501E00"/>
    <w:rsid w:val="00502567"/>
    <w:rsid w:val="00504010"/>
    <w:rsid w:val="00504A26"/>
    <w:rsid w:val="00505890"/>
    <w:rsid w:val="005077CA"/>
    <w:rsid w:val="00507D83"/>
    <w:rsid w:val="00510489"/>
    <w:rsid w:val="005108F7"/>
    <w:rsid w:val="00510E56"/>
    <w:rsid w:val="00511005"/>
    <w:rsid w:val="00512C68"/>
    <w:rsid w:val="0051367B"/>
    <w:rsid w:val="0051472E"/>
    <w:rsid w:val="00516548"/>
    <w:rsid w:val="00516765"/>
    <w:rsid w:val="0051782B"/>
    <w:rsid w:val="00520109"/>
    <w:rsid w:val="00520F35"/>
    <w:rsid w:val="00522374"/>
    <w:rsid w:val="00522542"/>
    <w:rsid w:val="0052294C"/>
    <w:rsid w:val="005231FE"/>
    <w:rsid w:val="005237DB"/>
    <w:rsid w:val="005240C8"/>
    <w:rsid w:val="005244AB"/>
    <w:rsid w:val="00525247"/>
    <w:rsid w:val="00526353"/>
    <w:rsid w:val="00526B9D"/>
    <w:rsid w:val="0053019E"/>
    <w:rsid w:val="00530EA5"/>
    <w:rsid w:val="00532849"/>
    <w:rsid w:val="00533CB5"/>
    <w:rsid w:val="00534F35"/>
    <w:rsid w:val="00535D15"/>
    <w:rsid w:val="0053619B"/>
    <w:rsid w:val="00536286"/>
    <w:rsid w:val="005362E5"/>
    <w:rsid w:val="00536B83"/>
    <w:rsid w:val="00536BA6"/>
    <w:rsid w:val="0053784B"/>
    <w:rsid w:val="00540FEC"/>
    <w:rsid w:val="00541B22"/>
    <w:rsid w:val="0054338F"/>
    <w:rsid w:val="005437AF"/>
    <w:rsid w:val="00544864"/>
    <w:rsid w:val="00544A1A"/>
    <w:rsid w:val="00545BAB"/>
    <w:rsid w:val="00546523"/>
    <w:rsid w:val="00547141"/>
    <w:rsid w:val="00547F6E"/>
    <w:rsid w:val="00551B58"/>
    <w:rsid w:val="00552FC3"/>
    <w:rsid w:val="00553FDC"/>
    <w:rsid w:val="00554A18"/>
    <w:rsid w:val="005550A9"/>
    <w:rsid w:val="00555E85"/>
    <w:rsid w:val="0055725B"/>
    <w:rsid w:val="005600A9"/>
    <w:rsid w:val="00560643"/>
    <w:rsid w:val="005614F4"/>
    <w:rsid w:val="00562241"/>
    <w:rsid w:val="005623FB"/>
    <w:rsid w:val="00562A02"/>
    <w:rsid w:val="00562A1D"/>
    <w:rsid w:val="00562C9F"/>
    <w:rsid w:val="005636A4"/>
    <w:rsid w:val="00564482"/>
    <w:rsid w:val="00564FBB"/>
    <w:rsid w:val="00565867"/>
    <w:rsid w:val="00565A3E"/>
    <w:rsid w:val="00565EDF"/>
    <w:rsid w:val="00565FA7"/>
    <w:rsid w:val="00565FC2"/>
    <w:rsid w:val="005674A1"/>
    <w:rsid w:val="0056791F"/>
    <w:rsid w:val="0056793C"/>
    <w:rsid w:val="00567C1D"/>
    <w:rsid w:val="005713A9"/>
    <w:rsid w:val="00571461"/>
    <w:rsid w:val="00572B69"/>
    <w:rsid w:val="00573385"/>
    <w:rsid w:val="00573850"/>
    <w:rsid w:val="00573E84"/>
    <w:rsid w:val="00574176"/>
    <w:rsid w:val="0057445E"/>
    <w:rsid w:val="0057568D"/>
    <w:rsid w:val="00575746"/>
    <w:rsid w:val="00575ABB"/>
    <w:rsid w:val="00575C51"/>
    <w:rsid w:val="00575CED"/>
    <w:rsid w:val="00575F83"/>
    <w:rsid w:val="00576000"/>
    <w:rsid w:val="00576398"/>
    <w:rsid w:val="005771A8"/>
    <w:rsid w:val="00577821"/>
    <w:rsid w:val="0057795D"/>
    <w:rsid w:val="00580B50"/>
    <w:rsid w:val="00580D66"/>
    <w:rsid w:val="00581BFA"/>
    <w:rsid w:val="00581CC0"/>
    <w:rsid w:val="00582952"/>
    <w:rsid w:val="00582DA6"/>
    <w:rsid w:val="00582F73"/>
    <w:rsid w:val="00583491"/>
    <w:rsid w:val="00583729"/>
    <w:rsid w:val="005837A1"/>
    <w:rsid w:val="0058418C"/>
    <w:rsid w:val="00584365"/>
    <w:rsid w:val="00584535"/>
    <w:rsid w:val="00584A63"/>
    <w:rsid w:val="00584FC2"/>
    <w:rsid w:val="00590501"/>
    <w:rsid w:val="00591054"/>
    <w:rsid w:val="0059219A"/>
    <w:rsid w:val="00592206"/>
    <w:rsid w:val="005930AF"/>
    <w:rsid w:val="00593D48"/>
    <w:rsid w:val="0059561D"/>
    <w:rsid w:val="00596552"/>
    <w:rsid w:val="00596A8A"/>
    <w:rsid w:val="00596ADE"/>
    <w:rsid w:val="005974F8"/>
    <w:rsid w:val="005979A9"/>
    <w:rsid w:val="005A0600"/>
    <w:rsid w:val="005A06D2"/>
    <w:rsid w:val="005A0763"/>
    <w:rsid w:val="005A1863"/>
    <w:rsid w:val="005A1E36"/>
    <w:rsid w:val="005A3D32"/>
    <w:rsid w:val="005A4435"/>
    <w:rsid w:val="005A452E"/>
    <w:rsid w:val="005A492C"/>
    <w:rsid w:val="005A6A9F"/>
    <w:rsid w:val="005A6C80"/>
    <w:rsid w:val="005A71D2"/>
    <w:rsid w:val="005A785C"/>
    <w:rsid w:val="005A79A5"/>
    <w:rsid w:val="005B152B"/>
    <w:rsid w:val="005B23AF"/>
    <w:rsid w:val="005B4DF3"/>
    <w:rsid w:val="005B5F0F"/>
    <w:rsid w:val="005B7E64"/>
    <w:rsid w:val="005C00FF"/>
    <w:rsid w:val="005C08AA"/>
    <w:rsid w:val="005C1113"/>
    <w:rsid w:val="005C208F"/>
    <w:rsid w:val="005C29C6"/>
    <w:rsid w:val="005C33EB"/>
    <w:rsid w:val="005C3583"/>
    <w:rsid w:val="005C3D87"/>
    <w:rsid w:val="005C625A"/>
    <w:rsid w:val="005C6344"/>
    <w:rsid w:val="005C652D"/>
    <w:rsid w:val="005C69F7"/>
    <w:rsid w:val="005C6FDC"/>
    <w:rsid w:val="005C71A6"/>
    <w:rsid w:val="005C72CC"/>
    <w:rsid w:val="005C7703"/>
    <w:rsid w:val="005C772C"/>
    <w:rsid w:val="005D0183"/>
    <w:rsid w:val="005D079C"/>
    <w:rsid w:val="005D214E"/>
    <w:rsid w:val="005D2698"/>
    <w:rsid w:val="005D2754"/>
    <w:rsid w:val="005D2CAE"/>
    <w:rsid w:val="005D3995"/>
    <w:rsid w:val="005D39F1"/>
    <w:rsid w:val="005D3B90"/>
    <w:rsid w:val="005D5238"/>
    <w:rsid w:val="005E0778"/>
    <w:rsid w:val="005E0DC7"/>
    <w:rsid w:val="005E0FD1"/>
    <w:rsid w:val="005E16DA"/>
    <w:rsid w:val="005E1E55"/>
    <w:rsid w:val="005E21B1"/>
    <w:rsid w:val="005E3AFA"/>
    <w:rsid w:val="005E5BF1"/>
    <w:rsid w:val="005E6485"/>
    <w:rsid w:val="005E6714"/>
    <w:rsid w:val="005E67B7"/>
    <w:rsid w:val="005E6915"/>
    <w:rsid w:val="005E6F40"/>
    <w:rsid w:val="005E7369"/>
    <w:rsid w:val="005E743C"/>
    <w:rsid w:val="005E7523"/>
    <w:rsid w:val="005F03B5"/>
    <w:rsid w:val="005F08C6"/>
    <w:rsid w:val="005F0B07"/>
    <w:rsid w:val="005F1485"/>
    <w:rsid w:val="005F16D4"/>
    <w:rsid w:val="005F2C30"/>
    <w:rsid w:val="005F2F5F"/>
    <w:rsid w:val="005F3130"/>
    <w:rsid w:val="005F3F7E"/>
    <w:rsid w:val="005F4163"/>
    <w:rsid w:val="005F4FE9"/>
    <w:rsid w:val="005F501A"/>
    <w:rsid w:val="005F5DDB"/>
    <w:rsid w:val="005F741F"/>
    <w:rsid w:val="005F79AE"/>
    <w:rsid w:val="00601350"/>
    <w:rsid w:val="00601775"/>
    <w:rsid w:val="006024F7"/>
    <w:rsid w:val="00602D90"/>
    <w:rsid w:val="00603328"/>
    <w:rsid w:val="006041CC"/>
    <w:rsid w:val="00604977"/>
    <w:rsid w:val="00604BEF"/>
    <w:rsid w:val="00604C44"/>
    <w:rsid w:val="00605431"/>
    <w:rsid w:val="00606CF6"/>
    <w:rsid w:val="00606E2E"/>
    <w:rsid w:val="006076C2"/>
    <w:rsid w:val="00612024"/>
    <w:rsid w:val="00612221"/>
    <w:rsid w:val="006140E8"/>
    <w:rsid w:val="0061428E"/>
    <w:rsid w:val="00615085"/>
    <w:rsid w:val="006207E0"/>
    <w:rsid w:val="00620A8D"/>
    <w:rsid w:val="00621211"/>
    <w:rsid w:val="00621755"/>
    <w:rsid w:val="0062213E"/>
    <w:rsid w:val="00622D67"/>
    <w:rsid w:val="006236F6"/>
    <w:rsid w:val="00623731"/>
    <w:rsid w:val="0062396F"/>
    <w:rsid w:val="00623C7B"/>
    <w:rsid w:val="00624D02"/>
    <w:rsid w:val="00624D5F"/>
    <w:rsid w:val="00626010"/>
    <w:rsid w:val="00626B77"/>
    <w:rsid w:val="00626D77"/>
    <w:rsid w:val="00626FC0"/>
    <w:rsid w:val="00630911"/>
    <w:rsid w:val="00630C30"/>
    <w:rsid w:val="006312A8"/>
    <w:rsid w:val="00631E02"/>
    <w:rsid w:val="006323FA"/>
    <w:rsid w:val="00633E06"/>
    <w:rsid w:val="006341A9"/>
    <w:rsid w:val="00634920"/>
    <w:rsid w:val="006356CE"/>
    <w:rsid w:val="00636659"/>
    <w:rsid w:val="006373BB"/>
    <w:rsid w:val="00637B22"/>
    <w:rsid w:val="0064151D"/>
    <w:rsid w:val="0064258C"/>
    <w:rsid w:val="00642AF5"/>
    <w:rsid w:val="006434C3"/>
    <w:rsid w:val="00643D13"/>
    <w:rsid w:val="00644375"/>
    <w:rsid w:val="00644702"/>
    <w:rsid w:val="00645176"/>
    <w:rsid w:val="00645D02"/>
    <w:rsid w:val="00646509"/>
    <w:rsid w:val="00646EEF"/>
    <w:rsid w:val="0064700B"/>
    <w:rsid w:val="0065034F"/>
    <w:rsid w:val="006503E6"/>
    <w:rsid w:val="006507F3"/>
    <w:rsid w:val="00650941"/>
    <w:rsid w:val="00652381"/>
    <w:rsid w:val="00652E91"/>
    <w:rsid w:val="0065338A"/>
    <w:rsid w:val="00653A65"/>
    <w:rsid w:val="0065402E"/>
    <w:rsid w:val="00654304"/>
    <w:rsid w:val="00654308"/>
    <w:rsid w:val="00657343"/>
    <w:rsid w:val="00661DD3"/>
    <w:rsid w:val="00664655"/>
    <w:rsid w:val="0066469B"/>
    <w:rsid w:val="00664766"/>
    <w:rsid w:val="00664E05"/>
    <w:rsid w:val="00665841"/>
    <w:rsid w:val="006658D8"/>
    <w:rsid w:val="00665A0E"/>
    <w:rsid w:val="00666D6D"/>
    <w:rsid w:val="00667BD2"/>
    <w:rsid w:val="0067021C"/>
    <w:rsid w:val="006707F1"/>
    <w:rsid w:val="0067170E"/>
    <w:rsid w:val="00672183"/>
    <w:rsid w:val="00673B03"/>
    <w:rsid w:val="00674DB6"/>
    <w:rsid w:val="00675794"/>
    <w:rsid w:val="006765C3"/>
    <w:rsid w:val="006768C4"/>
    <w:rsid w:val="00677098"/>
    <w:rsid w:val="0067763E"/>
    <w:rsid w:val="006778EC"/>
    <w:rsid w:val="00677D0B"/>
    <w:rsid w:val="00680016"/>
    <w:rsid w:val="0068268E"/>
    <w:rsid w:val="006830C4"/>
    <w:rsid w:val="00683BAB"/>
    <w:rsid w:val="00684741"/>
    <w:rsid w:val="00685400"/>
    <w:rsid w:val="006864EA"/>
    <w:rsid w:val="006913ED"/>
    <w:rsid w:val="00692647"/>
    <w:rsid w:val="00693309"/>
    <w:rsid w:val="006933EB"/>
    <w:rsid w:val="00693A00"/>
    <w:rsid w:val="00694D73"/>
    <w:rsid w:val="0069513F"/>
    <w:rsid w:val="00695598"/>
    <w:rsid w:val="00695610"/>
    <w:rsid w:val="00695882"/>
    <w:rsid w:val="00696EDC"/>
    <w:rsid w:val="006978C3"/>
    <w:rsid w:val="006A20A2"/>
    <w:rsid w:val="006A23C0"/>
    <w:rsid w:val="006A26F5"/>
    <w:rsid w:val="006A6253"/>
    <w:rsid w:val="006A67D7"/>
    <w:rsid w:val="006A6AF2"/>
    <w:rsid w:val="006A6EB0"/>
    <w:rsid w:val="006B01B1"/>
    <w:rsid w:val="006B0257"/>
    <w:rsid w:val="006B0ECB"/>
    <w:rsid w:val="006B11C9"/>
    <w:rsid w:val="006B3357"/>
    <w:rsid w:val="006B3EA0"/>
    <w:rsid w:val="006B53E7"/>
    <w:rsid w:val="006B63C7"/>
    <w:rsid w:val="006B673E"/>
    <w:rsid w:val="006B758B"/>
    <w:rsid w:val="006B7962"/>
    <w:rsid w:val="006C0728"/>
    <w:rsid w:val="006C2750"/>
    <w:rsid w:val="006C4B86"/>
    <w:rsid w:val="006C4FC7"/>
    <w:rsid w:val="006C55C5"/>
    <w:rsid w:val="006C5E35"/>
    <w:rsid w:val="006C724C"/>
    <w:rsid w:val="006D0026"/>
    <w:rsid w:val="006D0713"/>
    <w:rsid w:val="006D1A97"/>
    <w:rsid w:val="006D3743"/>
    <w:rsid w:val="006D3971"/>
    <w:rsid w:val="006D5BCD"/>
    <w:rsid w:val="006D62EF"/>
    <w:rsid w:val="006D65C4"/>
    <w:rsid w:val="006D666C"/>
    <w:rsid w:val="006E2A9B"/>
    <w:rsid w:val="006E2DB6"/>
    <w:rsid w:val="006E31DD"/>
    <w:rsid w:val="006E3CD9"/>
    <w:rsid w:val="006E44BC"/>
    <w:rsid w:val="006E46CF"/>
    <w:rsid w:val="006E4A34"/>
    <w:rsid w:val="006E5548"/>
    <w:rsid w:val="006E5E45"/>
    <w:rsid w:val="006E6005"/>
    <w:rsid w:val="006E6149"/>
    <w:rsid w:val="006E6416"/>
    <w:rsid w:val="006E64FB"/>
    <w:rsid w:val="006F0230"/>
    <w:rsid w:val="006F0C5A"/>
    <w:rsid w:val="006F2074"/>
    <w:rsid w:val="006F30BB"/>
    <w:rsid w:val="006F3851"/>
    <w:rsid w:val="006F4A63"/>
    <w:rsid w:val="006F65A0"/>
    <w:rsid w:val="006F7438"/>
    <w:rsid w:val="006F74D8"/>
    <w:rsid w:val="006F7CAC"/>
    <w:rsid w:val="00701987"/>
    <w:rsid w:val="00702066"/>
    <w:rsid w:val="00702D0C"/>
    <w:rsid w:val="00702FD8"/>
    <w:rsid w:val="007036E5"/>
    <w:rsid w:val="00704097"/>
    <w:rsid w:val="007043FE"/>
    <w:rsid w:val="00704559"/>
    <w:rsid w:val="007051F3"/>
    <w:rsid w:val="00705927"/>
    <w:rsid w:val="00705D2A"/>
    <w:rsid w:val="00705D5B"/>
    <w:rsid w:val="00706729"/>
    <w:rsid w:val="00706C62"/>
    <w:rsid w:val="00707EFD"/>
    <w:rsid w:val="007103B4"/>
    <w:rsid w:val="0071103F"/>
    <w:rsid w:val="00711BAB"/>
    <w:rsid w:val="00711CA8"/>
    <w:rsid w:val="0071228E"/>
    <w:rsid w:val="00712701"/>
    <w:rsid w:val="007129EF"/>
    <w:rsid w:val="00713779"/>
    <w:rsid w:val="007137C5"/>
    <w:rsid w:val="0071465A"/>
    <w:rsid w:val="0071468B"/>
    <w:rsid w:val="00714B7E"/>
    <w:rsid w:val="00714BF6"/>
    <w:rsid w:val="007155E1"/>
    <w:rsid w:val="00715E66"/>
    <w:rsid w:val="00716508"/>
    <w:rsid w:val="00721D16"/>
    <w:rsid w:val="00721ECB"/>
    <w:rsid w:val="007244B6"/>
    <w:rsid w:val="00726C29"/>
    <w:rsid w:val="00726F4F"/>
    <w:rsid w:val="0072717E"/>
    <w:rsid w:val="00730855"/>
    <w:rsid w:val="00731B8E"/>
    <w:rsid w:val="00732AD6"/>
    <w:rsid w:val="0073376F"/>
    <w:rsid w:val="007350EB"/>
    <w:rsid w:val="007351C6"/>
    <w:rsid w:val="00735445"/>
    <w:rsid w:val="00736D69"/>
    <w:rsid w:val="0073713E"/>
    <w:rsid w:val="00741208"/>
    <w:rsid w:val="00744760"/>
    <w:rsid w:val="007459CA"/>
    <w:rsid w:val="00747BFB"/>
    <w:rsid w:val="00750DE7"/>
    <w:rsid w:val="00751D3A"/>
    <w:rsid w:val="00752336"/>
    <w:rsid w:val="007532AC"/>
    <w:rsid w:val="007538B9"/>
    <w:rsid w:val="00754689"/>
    <w:rsid w:val="00755B55"/>
    <w:rsid w:val="00756976"/>
    <w:rsid w:val="00757725"/>
    <w:rsid w:val="0076012A"/>
    <w:rsid w:val="0076025F"/>
    <w:rsid w:val="0076072B"/>
    <w:rsid w:val="00760A75"/>
    <w:rsid w:val="00760D96"/>
    <w:rsid w:val="007628CD"/>
    <w:rsid w:val="00762A2D"/>
    <w:rsid w:val="007631A8"/>
    <w:rsid w:val="007663FE"/>
    <w:rsid w:val="00767039"/>
    <w:rsid w:val="007670EE"/>
    <w:rsid w:val="00770BE4"/>
    <w:rsid w:val="0077103E"/>
    <w:rsid w:val="00772083"/>
    <w:rsid w:val="0077216A"/>
    <w:rsid w:val="007722BD"/>
    <w:rsid w:val="007736ED"/>
    <w:rsid w:val="007737E2"/>
    <w:rsid w:val="00773DC2"/>
    <w:rsid w:val="0077429C"/>
    <w:rsid w:val="0077555B"/>
    <w:rsid w:val="00775F10"/>
    <w:rsid w:val="00776022"/>
    <w:rsid w:val="0077784E"/>
    <w:rsid w:val="00780615"/>
    <w:rsid w:val="007813F4"/>
    <w:rsid w:val="007832F3"/>
    <w:rsid w:val="00784223"/>
    <w:rsid w:val="00784471"/>
    <w:rsid w:val="00784E6A"/>
    <w:rsid w:val="0078569C"/>
    <w:rsid w:val="00785A61"/>
    <w:rsid w:val="00785F0B"/>
    <w:rsid w:val="00785F89"/>
    <w:rsid w:val="007869E3"/>
    <w:rsid w:val="00786C3E"/>
    <w:rsid w:val="00786CEA"/>
    <w:rsid w:val="00787585"/>
    <w:rsid w:val="00787C98"/>
    <w:rsid w:val="00790769"/>
    <w:rsid w:val="00790832"/>
    <w:rsid w:val="007908B0"/>
    <w:rsid w:val="00790CB6"/>
    <w:rsid w:val="00792A79"/>
    <w:rsid w:val="00792C23"/>
    <w:rsid w:val="00793286"/>
    <w:rsid w:val="007938DA"/>
    <w:rsid w:val="0079467C"/>
    <w:rsid w:val="00795A0E"/>
    <w:rsid w:val="0079610A"/>
    <w:rsid w:val="0079655C"/>
    <w:rsid w:val="00796582"/>
    <w:rsid w:val="00797CEB"/>
    <w:rsid w:val="007A08CB"/>
    <w:rsid w:val="007A117C"/>
    <w:rsid w:val="007A1F0A"/>
    <w:rsid w:val="007A1FFA"/>
    <w:rsid w:val="007A28E3"/>
    <w:rsid w:val="007A2DDD"/>
    <w:rsid w:val="007A3934"/>
    <w:rsid w:val="007A399D"/>
    <w:rsid w:val="007A4AA9"/>
    <w:rsid w:val="007A5379"/>
    <w:rsid w:val="007A6707"/>
    <w:rsid w:val="007A6AA2"/>
    <w:rsid w:val="007A797B"/>
    <w:rsid w:val="007A7DD5"/>
    <w:rsid w:val="007B0280"/>
    <w:rsid w:val="007B27EB"/>
    <w:rsid w:val="007B392F"/>
    <w:rsid w:val="007B4D74"/>
    <w:rsid w:val="007B519F"/>
    <w:rsid w:val="007B5A11"/>
    <w:rsid w:val="007B61AB"/>
    <w:rsid w:val="007B6BC9"/>
    <w:rsid w:val="007C00E9"/>
    <w:rsid w:val="007C14D9"/>
    <w:rsid w:val="007C17A2"/>
    <w:rsid w:val="007C192C"/>
    <w:rsid w:val="007C1B70"/>
    <w:rsid w:val="007C2E3B"/>
    <w:rsid w:val="007C3842"/>
    <w:rsid w:val="007C3E5E"/>
    <w:rsid w:val="007C4081"/>
    <w:rsid w:val="007C5AFB"/>
    <w:rsid w:val="007C5F56"/>
    <w:rsid w:val="007C6001"/>
    <w:rsid w:val="007C7797"/>
    <w:rsid w:val="007D0AA8"/>
    <w:rsid w:val="007D31A6"/>
    <w:rsid w:val="007D4068"/>
    <w:rsid w:val="007D5186"/>
    <w:rsid w:val="007D5F49"/>
    <w:rsid w:val="007D7A75"/>
    <w:rsid w:val="007E048B"/>
    <w:rsid w:val="007E1473"/>
    <w:rsid w:val="007E1BA8"/>
    <w:rsid w:val="007E1F13"/>
    <w:rsid w:val="007E238E"/>
    <w:rsid w:val="007E3647"/>
    <w:rsid w:val="007E470A"/>
    <w:rsid w:val="007E4CC6"/>
    <w:rsid w:val="007E574E"/>
    <w:rsid w:val="007E5964"/>
    <w:rsid w:val="007E64FA"/>
    <w:rsid w:val="007E7D9B"/>
    <w:rsid w:val="007E7E90"/>
    <w:rsid w:val="007F02B8"/>
    <w:rsid w:val="007F3803"/>
    <w:rsid w:val="007F385D"/>
    <w:rsid w:val="007F4F19"/>
    <w:rsid w:val="007F5400"/>
    <w:rsid w:val="007F55CA"/>
    <w:rsid w:val="007F6696"/>
    <w:rsid w:val="007F6D49"/>
    <w:rsid w:val="007F774D"/>
    <w:rsid w:val="007F7873"/>
    <w:rsid w:val="007F799A"/>
    <w:rsid w:val="0080070C"/>
    <w:rsid w:val="0080090C"/>
    <w:rsid w:val="00800C26"/>
    <w:rsid w:val="00801F6E"/>
    <w:rsid w:val="0080293F"/>
    <w:rsid w:val="00802DB3"/>
    <w:rsid w:val="008041A3"/>
    <w:rsid w:val="00804A08"/>
    <w:rsid w:val="00804AC4"/>
    <w:rsid w:val="008056CD"/>
    <w:rsid w:val="00805B63"/>
    <w:rsid w:val="00805CEE"/>
    <w:rsid w:val="008071AF"/>
    <w:rsid w:val="008075EF"/>
    <w:rsid w:val="0080778E"/>
    <w:rsid w:val="0081051A"/>
    <w:rsid w:val="008120C0"/>
    <w:rsid w:val="008157EC"/>
    <w:rsid w:val="008169F5"/>
    <w:rsid w:val="008172BB"/>
    <w:rsid w:val="008203FB"/>
    <w:rsid w:val="00821C8E"/>
    <w:rsid w:val="00822899"/>
    <w:rsid w:val="0082380D"/>
    <w:rsid w:val="008245EE"/>
    <w:rsid w:val="00824D87"/>
    <w:rsid w:val="00824E22"/>
    <w:rsid w:val="00825A99"/>
    <w:rsid w:val="00826B4D"/>
    <w:rsid w:val="00827063"/>
    <w:rsid w:val="00827383"/>
    <w:rsid w:val="008273B4"/>
    <w:rsid w:val="008275BC"/>
    <w:rsid w:val="00827810"/>
    <w:rsid w:val="00831187"/>
    <w:rsid w:val="00831744"/>
    <w:rsid w:val="008323A4"/>
    <w:rsid w:val="0083285C"/>
    <w:rsid w:val="00832BA1"/>
    <w:rsid w:val="00832ED9"/>
    <w:rsid w:val="008340B4"/>
    <w:rsid w:val="008348A5"/>
    <w:rsid w:val="008356DB"/>
    <w:rsid w:val="008359A2"/>
    <w:rsid w:val="00835AC4"/>
    <w:rsid w:val="00837D47"/>
    <w:rsid w:val="0084000B"/>
    <w:rsid w:val="00840328"/>
    <w:rsid w:val="00840397"/>
    <w:rsid w:val="00840F68"/>
    <w:rsid w:val="00841006"/>
    <w:rsid w:val="008427EA"/>
    <w:rsid w:val="00843620"/>
    <w:rsid w:val="00843D79"/>
    <w:rsid w:val="0084425B"/>
    <w:rsid w:val="00845A11"/>
    <w:rsid w:val="00847210"/>
    <w:rsid w:val="008473C3"/>
    <w:rsid w:val="008508D5"/>
    <w:rsid w:val="00850ED1"/>
    <w:rsid w:val="008520AC"/>
    <w:rsid w:val="00852A3B"/>
    <w:rsid w:val="00852CD7"/>
    <w:rsid w:val="00853AB8"/>
    <w:rsid w:val="00855765"/>
    <w:rsid w:val="00855B80"/>
    <w:rsid w:val="00856BF3"/>
    <w:rsid w:val="00857036"/>
    <w:rsid w:val="0085716F"/>
    <w:rsid w:val="008600B6"/>
    <w:rsid w:val="00860E79"/>
    <w:rsid w:val="00861B46"/>
    <w:rsid w:val="00861E87"/>
    <w:rsid w:val="00861F64"/>
    <w:rsid w:val="00862061"/>
    <w:rsid w:val="008625AA"/>
    <w:rsid w:val="00862CC7"/>
    <w:rsid w:val="00863071"/>
    <w:rsid w:val="00864435"/>
    <w:rsid w:val="008646A5"/>
    <w:rsid w:val="0086677C"/>
    <w:rsid w:val="00866BFC"/>
    <w:rsid w:val="0086767C"/>
    <w:rsid w:val="00867C68"/>
    <w:rsid w:val="00867F37"/>
    <w:rsid w:val="00870267"/>
    <w:rsid w:val="00870993"/>
    <w:rsid w:val="00871D06"/>
    <w:rsid w:val="0087296A"/>
    <w:rsid w:val="008729C6"/>
    <w:rsid w:val="00872B28"/>
    <w:rsid w:val="00874FEF"/>
    <w:rsid w:val="0087688C"/>
    <w:rsid w:val="008778EF"/>
    <w:rsid w:val="00880CB7"/>
    <w:rsid w:val="00882EF2"/>
    <w:rsid w:val="0088323D"/>
    <w:rsid w:val="00883609"/>
    <w:rsid w:val="0088407A"/>
    <w:rsid w:val="008845A2"/>
    <w:rsid w:val="00884D52"/>
    <w:rsid w:val="00884D53"/>
    <w:rsid w:val="00885094"/>
    <w:rsid w:val="008852AA"/>
    <w:rsid w:val="0088591A"/>
    <w:rsid w:val="00886484"/>
    <w:rsid w:val="008864E9"/>
    <w:rsid w:val="00887D54"/>
    <w:rsid w:val="00890DF1"/>
    <w:rsid w:val="00890E21"/>
    <w:rsid w:val="00891ED6"/>
    <w:rsid w:val="008922EC"/>
    <w:rsid w:val="008935C8"/>
    <w:rsid w:val="0089556B"/>
    <w:rsid w:val="00895CF6"/>
    <w:rsid w:val="008966F2"/>
    <w:rsid w:val="00896AF1"/>
    <w:rsid w:val="00897ABB"/>
    <w:rsid w:val="008A020A"/>
    <w:rsid w:val="008A0760"/>
    <w:rsid w:val="008A07C7"/>
    <w:rsid w:val="008A0B61"/>
    <w:rsid w:val="008A0D9D"/>
    <w:rsid w:val="008A1112"/>
    <w:rsid w:val="008A1B64"/>
    <w:rsid w:val="008A2D79"/>
    <w:rsid w:val="008A4CE0"/>
    <w:rsid w:val="008A5839"/>
    <w:rsid w:val="008A5EEE"/>
    <w:rsid w:val="008A61FD"/>
    <w:rsid w:val="008A6B93"/>
    <w:rsid w:val="008A703F"/>
    <w:rsid w:val="008A760D"/>
    <w:rsid w:val="008A7723"/>
    <w:rsid w:val="008A7D6D"/>
    <w:rsid w:val="008A7EFD"/>
    <w:rsid w:val="008B0710"/>
    <w:rsid w:val="008B2136"/>
    <w:rsid w:val="008B233D"/>
    <w:rsid w:val="008B256D"/>
    <w:rsid w:val="008B39DA"/>
    <w:rsid w:val="008B3A31"/>
    <w:rsid w:val="008B3F82"/>
    <w:rsid w:val="008B4895"/>
    <w:rsid w:val="008B4A07"/>
    <w:rsid w:val="008B59AC"/>
    <w:rsid w:val="008B5C76"/>
    <w:rsid w:val="008B5E11"/>
    <w:rsid w:val="008B646F"/>
    <w:rsid w:val="008B6F40"/>
    <w:rsid w:val="008B7014"/>
    <w:rsid w:val="008B7247"/>
    <w:rsid w:val="008B7D01"/>
    <w:rsid w:val="008B7D79"/>
    <w:rsid w:val="008C055A"/>
    <w:rsid w:val="008C168F"/>
    <w:rsid w:val="008C2333"/>
    <w:rsid w:val="008C2C24"/>
    <w:rsid w:val="008C5709"/>
    <w:rsid w:val="008C5C3B"/>
    <w:rsid w:val="008C5E73"/>
    <w:rsid w:val="008C608D"/>
    <w:rsid w:val="008C61D6"/>
    <w:rsid w:val="008C6664"/>
    <w:rsid w:val="008D01ED"/>
    <w:rsid w:val="008D0AD9"/>
    <w:rsid w:val="008D0E4B"/>
    <w:rsid w:val="008D43FA"/>
    <w:rsid w:val="008D485D"/>
    <w:rsid w:val="008D5128"/>
    <w:rsid w:val="008D6417"/>
    <w:rsid w:val="008D7A30"/>
    <w:rsid w:val="008E01E9"/>
    <w:rsid w:val="008E02F6"/>
    <w:rsid w:val="008E0860"/>
    <w:rsid w:val="008E2A7F"/>
    <w:rsid w:val="008E2AB3"/>
    <w:rsid w:val="008E368E"/>
    <w:rsid w:val="008E3D21"/>
    <w:rsid w:val="008E421F"/>
    <w:rsid w:val="008E4963"/>
    <w:rsid w:val="008E50EB"/>
    <w:rsid w:val="008E55CC"/>
    <w:rsid w:val="008E58F1"/>
    <w:rsid w:val="008E64F9"/>
    <w:rsid w:val="008E6816"/>
    <w:rsid w:val="008E6898"/>
    <w:rsid w:val="008E7393"/>
    <w:rsid w:val="008E7ECE"/>
    <w:rsid w:val="008F0491"/>
    <w:rsid w:val="008F1CD3"/>
    <w:rsid w:val="008F3373"/>
    <w:rsid w:val="008F3D10"/>
    <w:rsid w:val="008F43D4"/>
    <w:rsid w:val="008F4D0A"/>
    <w:rsid w:val="008F56C3"/>
    <w:rsid w:val="008F6277"/>
    <w:rsid w:val="008F67DD"/>
    <w:rsid w:val="008F6B85"/>
    <w:rsid w:val="008F7359"/>
    <w:rsid w:val="00901095"/>
    <w:rsid w:val="009019AE"/>
    <w:rsid w:val="00901DE8"/>
    <w:rsid w:val="00902354"/>
    <w:rsid w:val="009026AB"/>
    <w:rsid w:val="00902751"/>
    <w:rsid w:val="009049D2"/>
    <w:rsid w:val="00906422"/>
    <w:rsid w:val="00907624"/>
    <w:rsid w:val="0090794B"/>
    <w:rsid w:val="0091111C"/>
    <w:rsid w:val="0091456D"/>
    <w:rsid w:val="00914B6D"/>
    <w:rsid w:val="009152BA"/>
    <w:rsid w:val="00915BDF"/>
    <w:rsid w:val="00915D48"/>
    <w:rsid w:val="009160AA"/>
    <w:rsid w:val="00916C1B"/>
    <w:rsid w:val="00916CC2"/>
    <w:rsid w:val="00923B93"/>
    <w:rsid w:val="009264CD"/>
    <w:rsid w:val="009265F2"/>
    <w:rsid w:val="00926EF9"/>
    <w:rsid w:val="009309C7"/>
    <w:rsid w:val="0093211C"/>
    <w:rsid w:val="0093221B"/>
    <w:rsid w:val="00933131"/>
    <w:rsid w:val="00933584"/>
    <w:rsid w:val="0093373F"/>
    <w:rsid w:val="00933773"/>
    <w:rsid w:val="009347B9"/>
    <w:rsid w:val="00934992"/>
    <w:rsid w:val="00934A4B"/>
    <w:rsid w:val="00934D79"/>
    <w:rsid w:val="00934D99"/>
    <w:rsid w:val="00934F5F"/>
    <w:rsid w:val="00936CBC"/>
    <w:rsid w:val="00936D41"/>
    <w:rsid w:val="00936FEB"/>
    <w:rsid w:val="00937F01"/>
    <w:rsid w:val="009409FA"/>
    <w:rsid w:val="00940B3A"/>
    <w:rsid w:val="00940F61"/>
    <w:rsid w:val="00941501"/>
    <w:rsid w:val="00941A8F"/>
    <w:rsid w:val="00942BE0"/>
    <w:rsid w:val="0094328D"/>
    <w:rsid w:val="00943303"/>
    <w:rsid w:val="00943761"/>
    <w:rsid w:val="00944772"/>
    <w:rsid w:val="00944BC2"/>
    <w:rsid w:val="00945784"/>
    <w:rsid w:val="00946C9B"/>
    <w:rsid w:val="00947B91"/>
    <w:rsid w:val="00947F8A"/>
    <w:rsid w:val="00950AA3"/>
    <w:rsid w:val="00950EB5"/>
    <w:rsid w:val="00951783"/>
    <w:rsid w:val="00951C07"/>
    <w:rsid w:val="00953888"/>
    <w:rsid w:val="009550FF"/>
    <w:rsid w:val="00955505"/>
    <w:rsid w:val="0095552E"/>
    <w:rsid w:val="0095621B"/>
    <w:rsid w:val="009568C4"/>
    <w:rsid w:val="009572C5"/>
    <w:rsid w:val="00957342"/>
    <w:rsid w:val="0095787E"/>
    <w:rsid w:val="00960A0E"/>
    <w:rsid w:val="00960A93"/>
    <w:rsid w:val="00961113"/>
    <w:rsid w:val="00961635"/>
    <w:rsid w:val="0096216E"/>
    <w:rsid w:val="00965790"/>
    <w:rsid w:val="009658E2"/>
    <w:rsid w:val="00965D58"/>
    <w:rsid w:val="0096653D"/>
    <w:rsid w:val="00966EA9"/>
    <w:rsid w:val="0097003C"/>
    <w:rsid w:val="00970AF1"/>
    <w:rsid w:val="00971032"/>
    <w:rsid w:val="00971037"/>
    <w:rsid w:val="0097186F"/>
    <w:rsid w:val="00971C52"/>
    <w:rsid w:val="00972B28"/>
    <w:rsid w:val="009731C4"/>
    <w:rsid w:val="0097465B"/>
    <w:rsid w:val="00974728"/>
    <w:rsid w:val="00974E0E"/>
    <w:rsid w:val="0097515E"/>
    <w:rsid w:val="0097584F"/>
    <w:rsid w:val="0097591C"/>
    <w:rsid w:val="00975BB9"/>
    <w:rsid w:val="00976915"/>
    <w:rsid w:val="00977D84"/>
    <w:rsid w:val="00980FB9"/>
    <w:rsid w:val="0098197A"/>
    <w:rsid w:val="0098288A"/>
    <w:rsid w:val="00982B79"/>
    <w:rsid w:val="00982E57"/>
    <w:rsid w:val="009861F0"/>
    <w:rsid w:val="00987C6D"/>
    <w:rsid w:val="00987E85"/>
    <w:rsid w:val="0099030A"/>
    <w:rsid w:val="00990BB6"/>
    <w:rsid w:val="00990DDC"/>
    <w:rsid w:val="00992818"/>
    <w:rsid w:val="009943C8"/>
    <w:rsid w:val="009957D0"/>
    <w:rsid w:val="00995F35"/>
    <w:rsid w:val="00996B0F"/>
    <w:rsid w:val="00996B8F"/>
    <w:rsid w:val="00997095"/>
    <w:rsid w:val="009A09F9"/>
    <w:rsid w:val="009A0C04"/>
    <w:rsid w:val="009A0D3A"/>
    <w:rsid w:val="009A0F97"/>
    <w:rsid w:val="009A19BB"/>
    <w:rsid w:val="009A1A90"/>
    <w:rsid w:val="009A1D57"/>
    <w:rsid w:val="009A23C5"/>
    <w:rsid w:val="009A2EEF"/>
    <w:rsid w:val="009A488B"/>
    <w:rsid w:val="009A48CB"/>
    <w:rsid w:val="009A5F91"/>
    <w:rsid w:val="009A62EF"/>
    <w:rsid w:val="009B0038"/>
    <w:rsid w:val="009B03E7"/>
    <w:rsid w:val="009B201A"/>
    <w:rsid w:val="009B2BCA"/>
    <w:rsid w:val="009B2D67"/>
    <w:rsid w:val="009B3B8A"/>
    <w:rsid w:val="009B42C7"/>
    <w:rsid w:val="009B4675"/>
    <w:rsid w:val="009B59CB"/>
    <w:rsid w:val="009B628D"/>
    <w:rsid w:val="009B6895"/>
    <w:rsid w:val="009B6CFF"/>
    <w:rsid w:val="009B6FE6"/>
    <w:rsid w:val="009C073A"/>
    <w:rsid w:val="009C0848"/>
    <w:rsid w:val="009C14FB"/>
    <w:rsid w:val="009C1FDC"/>
    <w:rsid w:val="009C26EC"/>
    <w:rsid w:val="009C3B4A"/>
    <w:rsid w:val="009C4721"/>
    <w:rsid w:val="009C491E"/>
    <w:rsid w:val="009C5BF3"/>
    <w:rsid w:val="009C5CE2"/>
    <w:rsid w:val="009C60BA"/>
    <w:rsid w:val="009C73EF"/>
    <w:rsid w:val="009C780A"/>
    <w:rsid w:val="009C7D31"/>
    <w:rsid w:val="009D20B4"/>
    <w:rsid w:val="009D3BB7"/>
    <w:rsid w:val="009D4546"/>
    <w:rsid w:val="009D4881"/>
    <w:rsid w:val="009D7D37"/>
    <w:rsid w:val="009E127F"/>
    <w:rsid w:val="009E1995"/>
    <w:rsid w:val="009E1D8E"/>
    <w:rsid w:val="009E3429"/>
    <w:rsid w:val="009E3432"/>
    <w:rsid w:val="009E57A8"/>
    <w:rsid w:val="009E5A3A"/>
    <w:rsid w:val="009E6939"/>
    <w:rsid w:val="009E6BAD"/>
    <w:rsid w:val="009E6D85"/>
    <w:rsid w:val="009E7264"/>
    <w:rsid w:val="009E73AA"/>
    <w:rsid w:val="009E7AA8"/>
    <w:rsid w:val="009E7B63"/>
    <w:rsid w:val="009F074D"/>
    <w:rsid w:val="009F08C1"/>
    <w:rsid w:val="009F395D"/>
    <w:rsid w:val="009F3DE9"/>
    <w:rsid w:val="009F4213"/>
    <w:rsid w:val="009F649F"/>
    <w:rsid w:val="009F680F"/>
    <w:rsid w:val="009F6EF4"/>
    <w:rsid w:val="009F7BBD"/>
    <w:rsid w:val="00A00584"/>
    <w:rsid w:val="00A01481"/>
    <w:rsid w:val="00A0160F"/>
    <w:rsid w:val="00A024E9"/>
    <w:rsid w:val="00A03656"/>
    <w:rsid w:val="00A036FA"/>
    <w:rsid w:val="00A039D6"/>
    <w:rsid w:val="00A04AB6"/>
    <w:rsid w:val="00A05C35"/>
    <w:rsid w:val="00A069BC"/>
    <w:rsid w:val="00A10D90"/>
    <w:rsid w:val="00A1272D"/>
    <w:rsid w:val="00A12E11"/>
    <w:rsid w:val="00A13F46"/>
    <w:rsid w:val="00A149CB"/>
    <w:rsid w:val="00A15299"/>
    <w:rsid w:val="00A15BDE"/>
    <w:rsid w:val="00A15D43"/>
    <w:rsid w:val="00A172F6"/>
    <w:rsid w:val="00A173B0"/>
    <w:rsid w:val="00A17BA4"/>
    <w:rsid w:val="00A20152"/>
    <w:rsid w:val="00A21434"/>
    <w:rsid w:val="00A218DA"/>
    <w:rsid w:val="00A21D41"/>
    <w:rsid w:val="00A21FFA"/>
    <w:rsid w:val="00A22F7A"/>
    <w:rsid w:val="00A23924"/>
    <w:rsid w:val="00A2451E"/>
    <w:rsid w:val="00A24533"/>
    <w:rsid w:val="00A245C3"/>
    <w:rsid w:val="00A246B9"/>
    <w:rsid w:val="00A247DF"/>
    <w:rsid w:val="00A25B6C"/>
    <w:rsid w:val="00A26C30"/>
    <w:rsid w:val="00A31634"/>
    <w:rsid w:val="00A319E1"/>
    <w:rsid w:val="00A31FE4"/>
    <w:rsid w:val="00A33C54"/>
    <w:rsid w:val="00A340F2"/>
    <w:rsid w:val="00A34E0B"/>
    <w:rsid w:val="00A34F87"/>
    <w:rsid w:val="00A35C57"/>
    <w:rsid w:val="00A3620E"/>
    <w:rsid w:val="00A36312"/>
    <w:rsid w:val="00A365DE"/>
    <w:rsid w:val="00A416FE"/>
    <w:rsid w:val="00A4183E"/>
    <w:rsid w:val="00A41C64"/>
    <w:rsid w:val="00A4317A"/>
    <w:rsid w:val="00A4455F"/>
    <w:rsid w:val="00A4496E"/>
    <w:rsid w:val="00A450B8"/>
    <w:rsid w:val="00A45268"/>
    <w:rsid w:val="00A459D0"/>
    <w:rsid w:val="00A46B9D"/>
    <w:rsid w:val="00A47E13"/>
    <w:rsid w:val="00A47E33"/>
    <w:rsid w:val="00A50BEA"/>
    <w:rsid w:val="00A50D8D"/>
    <w:rsid w:val="00A50F81"/>
    <w:rsid w:val="00A5181F"/>
    <w:rsid w:val="00A51E88"/>
    <w:rsid w:val="00A525BC"/>
    <w:rsid w:val="00A53A32"/>
    <w:rsid w:val="00A53DE6"/>
    <w:rsid w:val="00A54382"/>
    <w:rsid w:val="00A54E3C"/>
    <w:rsid w:val="00A55D3F"/>
    <w:rsid w:val="00A56168"/>
    <w:rsid w:val="00A5630A"/>
    <w:rsid w:val="00A5636E"/>
    <w:rsid w:val="00A56974"/>
    <w:rsid w:val="00A5719C"/>
    <w:rsid w:val="00A577ED"/>
    <w:rsid w:val="00A6046D"/>
    <w:rsid w:val="00A621B5"/>
    <w:rsid w:val="00A628D8"/>
    <w:rsid w:val="00A63C6A"/>
    <w:rsid w:val="00A6449E"/>
    <w:rsid w:val="00A664EB"/>
    <w:rsid w:val="00A66B4A"/>
    <w:rsid w:val="00A66CDD"/>
    <w:rsid w:val="00A70717"/>
    <w:rsid w:val="00A7110B"/>
    <w:rsid w:val="00A719FB"/>
    <w:rsid w:val="00A73CC8"/>
    <w:rsid w:val="00A741FF"/>
    <w:rsid w:val="00A752CB"/>
    <w:rsid w:val="00A76C5E"/>
    <w:rsid w:val="00A771EA"/>
    <w:rsid w:val="00A77B9B"/>
    <w:rsid w:val="00A80733"/>
    <w:rsid w:val="00A81676"/>
    <w:rsid w:val="00A82152"/>
    <w:rsid w:val="00A824AD"/>
    <w:rsid w:val="00A82506"/>
    <w:rsid w:val="00A838EE"/>
    <w:rsid w:val="00A83B9F"/>
    <w:rsid w:val="00A83FFF"/>
    <w:rsid w:val="00A84E3A"/>
    <w:rsid w:val="00A84EC7"/>
    <w:rsid w:val="00A861ED"/>
    <w:rsid w:val="00A8633B"/>
    <w:rsid w:val="00A86E10"/>
    <w:rsid w:val="00A87147"/>
    <w:rsid w:val="00A9090A"/>
    <w:rsid w:val="00A92FC3"/>
    <w:rsid w:val="00A940F3"/>
    <w:rsid w:val="00A945CD"/>
    <w:rsid w:val="00A9462F"/>
    <w:rsid w:val="00A947A4"/>
    <w:rsid w:val="00A95A94"/>
    <w:rsid w:val="00A95F5A"/>
    <w:rsid w:val="00A961E0"/>
    <w:rsid w:val="00A9674F"/>
    <w:rsid w:val="00A969F7"/>
    <w:rsid w:val="00A97A8A"/>
    <w:rsid w:val="00A97B6D"/>
    <w:rsid w:val="00AA010A"/>
    <w:rsid w:val="00AA078B"/>
    <w:rsid w:val="00AA0D9F"/>
    <w:rsid w:val="00AA3393"/>
    <w:rsid w:val="00AA4684"/>
    <w:rsid w:val="00AB11D1"/>
    <w:rsid w:val="00AB141C"/>
    <w:rsid w:val="00AB2BDC"/>
    <w:rsid w:val="00AB37BB"/>
    <w:rsid w:val="00AB4CBA"/>
    <w:rsid w:val="00AB50E0"/>
    <w:rsid w:val="00AB54A4"/>
    <w:rsid w:val="00AB6A24"/>
    <w:rsid w:val="00AB758B"/>
    <w:rsid w:val="00AC050A"/>
    <w:rsid w:val="00AC0AFC"/>
    <w:rsid w:val="00AC0F41"/>
    <w:rsid w:val="00AC1E60"/>
    <w:rsid w:val="00AC4957"/>
    <w:rsid w:val="00AC5B52"/>
    <w:rsid w:val="00AC5FAC"/>
    <w:rsid w:val="00AC6E97"/>
    <w:rsid w:val="00AC7D44"/>
    <w:rsid w:val="00AD0A96"/>
    <w:rsid w:val="00AD100E"/>
    <w:rsid w:val="00AD278C"/>
    <w:rsid w:val="00AD3120"/>
    <w:rsid w:val="00AD3628"/>
    <w:rsid w:val="00AD4843"/>
    <w:rsid w:val="00AD4A49"/>
    <w:rsid w:val="00AD59D2"/>
    <w:rsid w:val="00AD6E61"/>
    <w:rsid w:val="00AD6F50"/>
    <w:rsid w:val="00AD719E"/>
    <w:rsid w:val="00AD744D"/>
    <w:rsid w:val="00AD7538"/>
    <w:rsid w:val="00AD7AA7"/>
    <w:rsid w:val="00AE0D89"/>
    <w:rsid w:val="00AE10B5"/>
    <w:rsid w:val="00AE161F"/>
    <w:rsid w:val="00AE1720"/>
    <w:rsid w:val="00AE1B78"/>
    <w:rsid w:val="00AE2498"/>
    <w:rsid w:val="00AE286C"/>
    <w:rsid w:val="00AE3E09"/>
    <w:rsid w:val="00AE4B99"/>
    <w:rsid w:val="00AE4D40"/>
    <w:rsid w:val="00AE561D"/>
    <w:rsid w:val="00AE60AF"/>
    <w:rsid w:val="00AE6570"/>
    <w:rsid w:val="00AE6BDB"/>
    <w:rsid w:val="00AE7694"/>
    <w:rsid w:val="00AF1F54"/>
    <w:rsid w:val="00AF20D4"/>
    <w:rsid w:val="00AF43EF"/>
    <w:rsid w:val="00AF44A8"/>
    <w:rsid w:val="00AF53AC"/>
    <w:rsid w:val="00AF5F3B"/>
    <w:rsid w:val="00AF6027"/>
    <w:rsid w:val="00AF79E6"/>
    <w:rsid w:val="00AF7A0F"/>
    <w:rsid w:val="00AF7EB1"/>
    <w:rsid w:val="00B00A7F"/>
    <w:rsid w:val="00B011D5"/>
    <w:rsid w:val="00B01684"/>
    <w:rsid w:val="00B02426"/>
    <w:rsid w:val="00B0392C"/>
    <w:rsid w:val="00B04A42"/>
    <w:rsid w:val="00B04BAC"/>
    <w:rsid w:val="00B04F63"/>
    <w:rsid w:val="00B057DE"/>
    <w:rsid w:val="00B05D6F"/>
    <w:rsid w:val="00B07475"/>
    <w:rsid w:val="00B079E4"/>
    <w:rsid w:val="00B07DC6"/>
    <w:rsid w:val="00B1010C"/>
    <w:rsid w:val="00B113C4"/>
    <w:rsid w:val="00B13171"/>
    <w:rsid w:val="00B136C4"/>
    <w:rsid w:val="00B13752"/>
    <w:rsid w:val="00B1384D"/>
    <w:rsid w:val="00B161EB"/>
    <w:rsid w:val="00B179C4"/>
    <w:rsid w:val="00B202DF"/>
    <w:rsid w:val="00B2036F"/>
    <w:rsid w:val="00B205C3"/>
    <w:rsid w:val="00B206A7"/>
    <w:rsid w:val="00B216A9"/>
    <w:rsid w:val="00B216C3"/>
    <w:rsid w:val="00B2263F"/>
    <w:rsid w:val="00B22795"/>
    <w:rsid w:val="00B23024"/>
    <w:rsid w:val="00B2392C"/>
    <w:rsid w:val="00B23931"/>
    <w:rsid w:val="00B260C0"/>
    <w:rsid w:val="00B26375"/>
    <w:rsid w:val="00B31627"/>
    <w:rsid w:val="00B31685"/>
    <w:rsid w:val="00B327D6"/>
    <w:rsid w:val="00B333E2"/>
    <w:rsid w:val="00B3348F"/>
    <w:rsid w:val="00B33563"/>
    <w:rsid w:val="00B33875"/>
    <w:rsid w:val="00B353B0"/>
    <w:rsid w:val="00B35C0B"/>
    <w:rsid w:val="00B35C42"/>
    <w:rsid w:val="00B37B38"/>
    <w:rsid w:val="00B37BDC"/>
    <w:rsid w:val="00B41009"/>
    <w:rsid w:val="00B42FC6"/>
    <w:rsid w:val="00B42FD6"/>
    <w:rsid w:val="00B436D4"/>
    <w:rsid w:val="00B44168"/>
    <w:rsid w:val="00B44697"/>
    <w:rsid w:val="00B447C2"/>
    <w:rsid w:val="00B44C2D"/>
    <w:rsid w:val="00B44EDA"/>
    <w:rsid w:val="00B4528F"/>
    <w:rsid w:val="00B45C72"/>
    <w:rsid w:val="00B461E2"/>
    <w:rsid w:val="00B46946"/>
    <w:rsid w:val="00B4694D"/>
    <w:rsid w:val="00B50C3B"/>
    <w:rsid w:val="00B50CEE"/>
    <w:rsid w:val="00B51DC2"/>
    <w:rsid w:val="00B51EE2"/>
    <w:rsid w:val="00B520CB"/>
    <w:rsid w:val="00B527E9"/>
    <w:rsid w:val="00B52D26"/>
    <w:rsid w:val="00B538C7"/>
    <w:rsid w:val="00B53CEF"/>
    <w:rsid w:val="00B55434"/>
    <w:rsid w:val="00B55871"/>
    <w:rsid w:val="00B559D0"/>
    <w:rsid w:val="00B55A26"/>
    <w:rsid w:val="00B55FFD"/>
    <w:rsid w:val="00B5643D"/>
    <w:rsid w:val="00B56EF5"/>
    <w:rsid w:val="00B57773"/>
    <w:rsid w:val="00B57CE7"/>
    <w:rsid w:val="00B622BA"/>
    <w:rsid w:val="00B630E6"/>
    <w:rsid w:val="00B63AAF"/>
    <w:rsid w:val="00B63B47"/>
    <w:rsid w:val="00B641C2"/>
    <w:rsid w:val="00B65219"/>
    <w:rsid w:val="00B705C4"/>
    <w:rsid w:val="00B711CF"/>
    <w:rsid w:val="00B71FF7"/>
    <w:rsid w:val="00B71FF9"/>
    <w:rsid w:val="00B72313"/>
    <w:rsid w:val="00B72DBE"/>
    <w:rsid w:val="00B74397"/>
    <w:rsid w:val="00B74A4D"/>
    <w:rsid w:val="00B74EE0"/>
    <w:rsid w:val="00B7578B"/>
    <w:rsid w:val="00B777EC"/>
    <w:rsid w:val="00B806F7"/>
    <w:rsid w:val="00B8289C"/>
    <w:rsid w:val="00B8296C"/>
    <w:rsid w:val="00B83D90"/>
    <w:rsid w:val="00B841A8"/>
    <w:rsid w:val="00B846F8"/>
    <w:rsid w:val="00B84D4D"/>
    <w:rsid w:val="00B85400"/>
    <w:rsid w:val="00B85FF0"/>
    <w:rsid w:val="00B864A4"/>
    <w:rsid w:val="00B875FF"/>
    <w:rsid w:val="00B91054"/>
    <w:rsid w:val="00B91271"/>
    <w:rsid w:val="00B91DBF"/>
    <w:rsid w:val="00B922E6"/>
    <w:rsid w:val="00B927D7"/>
    <w:rsid w:val="00B937E4"/>
    <w:rsid w:val="00B93BA0"/>
    <w:rsid w:val="00B95BDD"/>
    <w:rsid w:val="00B97403"/>
    <w:rsid w:val="00B97A9C"/>
    <w:rsid w:val="00B97BCF"/>
    <w:rsid w:val="00BA0242"/>
    <w:rsid w:val="00BA05AC"/>
    <w:rsid w:val="00BA0733"/>
    <w:rsid w:val="00BA1493"/>
    <w:rsid w:val="00BA226C"/>
    <w:rsid w:val="00BA22ED"/>
    <w:rsid w:val="00BA28CE"/>
    <w:rsid w:val="00BA39DB"/>
    <w:rsid w:val="00BA505B"/>
    <w:rsid w:val="00BA622D"/>
    <w:rsid w:val="00BA6A64"/>
    <w:rsid w:val="00BA6B7F"/>
    <w:rsid w:val="00BA730E"/>
    <w:rsid w:val="00BB1A32"/>
    <w:rsid w:val="00BB2A4E"/>
    <w:rsid w:val="00BB437D"/>
    <w:rsid w:val="00BB4389"/>
    <w:rsid w:val="00BB472C"/>
    <w:rsid w:val="00BB4F3C"/>
    <w:rsid w:val="00BB5EAC"/>
    <w:rsid w:val="00BB7459"/>
    <w:rsid w:val="00BB7481"/>
    <w:rsid w:val="00BB7C13"/>
    <w:rsid w:val="00BC0218"/>
    <w:rsid w:val="00BC02CB"/>
    <w:rsid w:val="00BC056E"/>
    <w:rsid w:val="00BC1675"/>
    <w:rsid w:val="00BC1EAC"/>
    <w:rsid w:val="00BC30EC"/>
    <w:rsid w:val="00BC42A4"/>
    <w:rsid w:val="00BC4FFF"/>
    <w:rsid w:val="00BC5DAE"/>
    <w:rsid w:val="00BC606F"/>
    <w:rsid w:val="00BC6676"/>
    <w:rsid w:val="00BC69FF"/>
    <w:rsid w:val="00BC6D1E"/>
    <w:rsid w:val="00BC7D02"/>
    <w:rsid w:val="00BD0049"/>
    <w:rsid w:val="00BD1423"/>
    <w:rsid w:val="00BD19EB"/>
    <w:rsid w:val="00BD1A62"/>
    <w:rsid w:val="00BD1B96"/>
    <w:rsid w:val="00BD2051"/>
    <w:rsid w:val="00BD2323"/>
    <w:rsid w:val="00BD2E12"/>
    <w:rsid w:val="00BD2FE5"/>
    <w:rsid w:val="00BD456A"/>
    <w:rsid w:val="00BD4F1F"/>
    <w:rsid w:val="00BD5659"/>
    <w:rsid w:val="00BD5814"/>
    <w:rsid w:val="00BD59A4"/>
    <w:rsid w:val="00BD59E4"/>
    <w:rsid w:val="00BD631C"/>
    <w:rsid w:val="00BD6C57"/>
    <w:rsid w:val="00BD6DE5"/>
    <w:rsid w:val="00BE0645"/>
    <w:rsid w:val="00BE14CA"/>
    <w:rsid w:val="00BE24E0"/>
    <w:rsid w:val="00BE44F4"/>
    <w:rsid w:val="00BE4D92"/>
    <w:rsid w:val="00BE60ED"/>
    <w:rsid w:val="00BE6362"/>
    <w:rsid w:val="00BE63C3"/>
    <w:rsid w:val="00BE65DF"/>
    <w:rsid w:val="00BE6F93"/>
    <w:rsid w:val="00BE7452"/>
    <w:rsid w:val="00BE7F1F"/>
    <w:rsid w:val="00BF00AE"/>
    <w:rsid w:val="00BF1479"/>
    <w:rsid w:val="00BF1CA2"/>
    <w:rsid w:val="00BF2663"/>
    <w:rsid w:val="00BF3305"/>
    <w:rsid w:val="00BF421E"/>
    <w:rsid w:val="00BF4BEF"/>
    <w:rsid w:val="00BF4F57"/>
    <w:rsid w:val="00BF6648"/>
    <w:rsid w:val="00BF7C75"/>
    <w:rsid w:val="00C000F0"/>
    <w:rsid w:val="00C00743"/>
    <w:rsid w:val="00C00839"/>
    <w:rsid w:val="00C016CF"/>
    <w:rsid w:val="00C020A7"/>
    <w:rsid w:val="00C022AA"/>
    <w:rsid w:val="00C022E7"/>
    <w:rsid w:val="00C03DDC"/>
    <w:rsid w:val="00C03DDD"/>
    <w:rsid w:val="00C03E3A"/>
    <w:rsid w:val="00C04790"/>
    <w:rsid w:val="00C052D9"/>
    <w:rsid w:val="00C053CE"/>
    <w:rsid w:val="00C05606"/>
    <w:rsid w:val="00C05C09"/>
    <w:rsid w:val="00C0607D"/>
    <w:rsid w:val="00C07BA7"/>
    <w:rsid w:val="00C10992"/>
    <w:rsid w:val="00C10C18"/>
    <w:rsid w:val="00C12020"/>
    <w:rsid w:val="00C13707"/>
    <w:rsid w:val="00C13B39"/>
    <w:rsid w:val="00C14927"/>
    <w:rsid w:val="00C14F61"/>
    <w:rsid w:val="00C1563B"/>
    <w:rsid w:val="00C1614A"/>
    <w:rsid w:val="00C164C9"/>
    <w:rsid w:val="00C168A0"/>
    <w:rsid w:val="00C20A72"/>
    <w:rsid w:val="00C20BB4"/>
    <w:rsid w:val="00C2114B"/>
    <w:rsid w:val="00C2143D"/>
    <w:rsid w:val="00C21615"/>
    <w:rsid w:val="00C232F8"/>
    <w:rsid w:val="00C2365E"/>
    <w:rsid w:val="00C23FE2"/>
    <w:rsid w:val="00C2492B"/>
    <w:rsid w:val="00C259AC"/>
    <w:rsid w:val="00C25ECC"/>
    <w:rsid w:val="00C26A58"/>
    <w:rsid w:val="00C26F49"/>
    <w:rsid w:val="00C27FE1"/>
    <w:rsid w:val="00C3071C"/>
    <w:rsid w:val="00C328D9"/>
    <w:rsid w:val="00C333F3"/>
    <w:rsid w:val="00C33659"/>
    <w:rsid w:val="00C3390A"/>
    <w:rsid w:val="00C34B67"/>
    <w:rsid w:val="00C36F15"/>
    <w:rsid w:val="00C37485"/>
    <w:rsid w:val="00C37A81"/>
    <w:rsid w:val="00C4043D"/>
    <w:rsid w:val="00C40D8E"/>
    <w:rsid w:val="00C41224"/>
    <w:rsid w:val="00C41F65"/>
    <w:rsid w:val="00C427C4"/>
    <w:rsid w:val="00C428A2"/>
    <w:rsid w:val="00C42D00"/>
    <w:rsid w:val="00C43037"/>
    <w:rsid w:val="00C4359C"/>
    <w:rsid w:val="00C45051"/>
    <w:rsid w:val="00C462D4"/>
    <w:rsid w:val="00C463C9"/>
    <w:rsid w:val="00C46D9E"/>
    <w:rsid w:val="00C46DEC"/>
    <w:rsid w:val="00C47602"/>
    <w:rsid w:val="00C476BF"/>
    <w:rsid w:val="00C47966"/>
    <w:rsid w:val="00C47A4C"/>
    <w:rsid w:val="00C47BA2"/>
    <w:rsid w:val="00C50B55"/>
    <w:rsid w:val="00C520D0"/>
    <w:rsid w:val="00C5221D"/>
    <w:rsid w:val="00C528BE"/>
    <w:rsid w:val="00C52B7B"/>
    <w:rsid w:val="00C53606"/>
    <w:rsid w:val="00C53E13"/>
    <w:rsid w:val="00C54545"/>
    <w:rsid w:val="00C550F5"/>
    <w:rsid w:val="00C55543"/>
    <w:rsid w:val="00C5745D"/>
    <w:rsid w:val="00C57E16"/>
    <w:rsid w:val="00C6094C"/>
    <w:rsid w:val="00C61C88"/>
    <w:rsid w:val="00C61E95"/>
    <w:rsid w:val="00C64DBE"/>
    <w:rsid w:val="00C661C4"/>
    <w:rsid w:val="00C66E98"/>
    <w:rsid w:val="00C674D9"/>
    <w:rsid w:val="00C67E46"/>
    <w:rsid w:val="00C720C5"/>
    <w:rsid w:val="00C72156"/>
    <w:rsid w:val="00C7259B"/>
    <w:rsid w:val="00C73EB0"/>
    <w:rsid w:val="00C75D59"/>
    <w:rsid w:val="00C75D65"/>
    <w:rsid w:val="00C7658F"/>
    <w:rsid w:val="00C76C09"/>
    <w:rsid w:val="00C817E0"/>
    <w:rsid w:val="00C81B33"/>
    <w:rsid w:val="00C822DF"/>
    <w:rsid w:val="00C8254A"/>
    <w:rsid w:val="00C8312C"/>
    <w:rsid w:val="00C8383D"/>
    <w:rsid w:val="00C8531F"/>
    <w:rsid w:val="00C85502"/>
    <w:rsid w:val="00C85CEE"/>
    <w:rsid w:val="00C872CC"/>
    <w:rsid w:val="00C875A5"/>
    <w:rsid w:val="00C87C27"/>
    <w:rsid w:val="00C9043F"/>
    <w:rsid w:val="00C90CB4"/>
    <w:rsid w:val="00C90D6A"/>
    <w:rsid w:val="00C911C9"/>
    <w:rsid w:val="00C911D5"/>
    <w:rsid w:val="00C9127B"/>
    <w:rsid w:val="00C913CA"/>
    <w:rsid w:val="00C91487"/>
    <w:rsid w:val="00C91EAB"/>
    <w:rsid w:val="00C92003"/>
    <w:rsid w:val="00C92096"/>
    <w:rsid w:val="00C926F0"/>
    <w:rsid w:val="00C93046"/>
    <w:rsid w:val="00C9346C"/>
    <w:rsid w:val="00C938B3"/>
    <w:rsid w:val="00C9651C"/>
    <w:rsid w:val="00C968B2"/>
    <w:rsid w:val="00C978D3"/>
    <w:rsid w:val="00CA03BE"/>
    <w:rsid w:val="00CA0B80"/>
    <w:rsid w:val="00CA1094"/>
    <w:rsid w:val="00CA2CA6"/>
    <w:rsid w:val="00CA3039"/>
    <w:rsid w:val="00CA3777"/>
    <w:rsid w:val="00CA4158"/>
    <w:rsid w:val="00CA4435"/>
    <w:rsid w:val="00CA4ABC"/>
    <w:rsid w:val="00CA4BEF"/>
    <w:rsid w:val="00CA4C38"/>
    <w:rsid w:val="00CA5036"/>
    <w:rsid w:val="00CA5BD5"/>
    <w:rsid w:val="00CA5E31"/>
    <w:rsid w:val="00CA66F5"/>
    <w:rsid w:val="00CA6EAC"/>
    <w:rsid w:val="00CA75C8"/>
    <w:rsid w:val="00CA7E77"/>
    <w:rsid w:val="00CB03EA"/>
    <w:rsid w:val="00CB0CCA"/>
    <w:rsid w:val="00CB1840"/>
    <w:rsid w:val="00CB18AA"/>
    <w:rsid w:val="00CB1A06"/>
    <w:rsid w:val="00CB1CFA"/>
    <w:rsid w:val="00CB1DFB"/>
    <w:rsid w:val="00CB2AC1"/>
    <w:rsid w:val="00CB2BC2"/>
    <w:rsid w:val="00CB3054"/>
    <w:rsid w:val="00CB427E"/>
    <w:rsid w:val="00CB5F38"/>
    <w:rsid w:val="00CB6377"/>
    <w:rsid w:val="00CB760A"/>
    <w:rsid w:val="00CB761D"/>
    <w:rsid w:val="00CB7AAA"/>
    <w:rsid w:val="00CB7EE7"/>
    <w:rsid w:val="00CC1585"/>
    <w:rsid w:val="00CC17F0"/>
    <w:rsid w:val="00CC27E1"/>
    <w:rsid w:val="00CC39BF"/>
    <w:rsid w:val="00CC3FDE"/>
    <w:rsid w:val="00CC418D"/>
    <w:rsid w:val="00CC5019"/>
    <w:rsid w:val="00CC6E05"/>
    <w:rsid w:val="00CC730B"/>
    <w:rsid w:val="00CC7D05"/>
    <w:rsid w:val="00CD2902"/>
    <w:rsid w:val="00CD2990"/>
    <w:rsid w:val="00CD30ED"/>
    <w:rsid w:val="00CD3FE2"/>
    <w:rsid w:val="00CD4D14"/>
    <w:rsid w:val="00CD6159"/>
    <w:rsid w:val="00CD636D"/>
    <w:rsid w:val="00CE13F1"/>
    <w:rsid w:val="00CE1ADE"/>
    <w:rsid w:val="00CE1EA3"/>
    <w:rsid w:val="00CE2506"/>
    <w:rsid w:val="00CE252B"/>
    <w:rsid w:val="00CE25B1"/>
    <w:rsid w:val="00CE370E"/>
    <w:rsid w:val="00CE69DA"/>
    <w:rsid w:val="00CE78DE"/>
    <w:rsid w:val="00CF01BE"/>
    <w:rsid w:val="00CF0A34"/>
    <w:rsid w:val="00CF0BD4"/>
    <w:rsid w:val="00CF1AB3"/>
    <w:rsid w:val="00CF1C5A"/>
    <w:rsid w:val="00CF21EE"/>
    <w:rsid w:val="00CF31B8"/>
    <w:rsid w:val="00CF4F26"/>
    <w:rsid w:val="00CF5CF1"/>
    <w:rsid w:val="00CF6325"/>
    <w:rsid w:val="00CF7F22"/>
    <w:rsid w:val="00D01059"/>
    <w:rsid w:val="00D01640"/>
    <w:rsid w:val="00D033D2"/>
    <w:rsid w:val="00D0496B"/>
    <w:rsid w:val="00D05B26"/>
    <w:rsid w:val="00D061E9"/>
    <w:rsid w:val="00D0631F"/>
    <w:rsid w:val="00D06B6C"/>
    <w:rsid w:val="00D07EC7"/>
    <w:rsid w:val="00D11CB0"/>
    <w:rsid w:val="00D12AF1"/>
    <w:rsid w:val="00D12DF8"/>
    <w:rsid w:val="00D1346F"/>
    <w:rsid w:val="00D138BC"/>
    <w:rsid w:val="00D13CE7"/>
    <w:rsid w:val="00D13DFF"/>
    <w:rsid w:val="00D157BE"/>
    <w:rsid w:val="00D16C73"/>
    <w:rsid w:val="00D16E00"/>
    <w:rsid w:val="00D16EBA"/>
    <w:rsid w:val="00D1736E"/>
    <w:rsid w:val="00D17709"/>
    <w:rsid w:val="00D17E6D"/>
    <w:rsid w:val="00D20696"/>
    <w:rsid w:val="00D2192B"/>
    <w:rsid w:val="00D22676"/>
    <w:rsid w:val="00D22C50"/>
    <w:rsid w:val="00D23292"/>
    <w:rsid w:val="00D23DF0"/>
    <w:rsid w:val="00D24341"/>
    <w:rsid w:val="00D24655"/>
    <w:rsid w:val="00D24A3A"/>
    <w:rsid w:val="00D24E7E"/>
    <w:rsid w:val="00D250E3"/>
    <w:rsid w:val="00D254C0"/>
    <w:rsid w:val="00D25D50"/>
    <w:rsid w:val="00D25EC1"/>
    <w:rsid w:val="00D27250"/>
    <w:rsid w:val="00D27AE2"/>
    <w:rsid w:val="00D31DAC"/>
    <w:rsid w:val="00D32329"/>
    <w:rsid w:val="00D32FD4"/>
    <w:rsid w:val="00D33387"/>
    <w:rsid w:val="00D34165"/>
    <w:rsid w:val="00D3421F"/>
    <w:rsid w:val="00D34F97"/>
    <w:rsid w:val="00D35B29"/>
    <w:rsid w:val="00D36488"/>
    <w:rsid w:val="00D40F73"/>
    <w:rsid w:val="00D41ACB"/>
    <w:rsid w:val="00D43070"/>
    <w:rsid w:val="00D43331"/>
    <w:rsid w:val="00D435A8"/>
    <w:rsid w:val="00D43789"/>
    <w:rsid w:val="00D44B89"/>
    <w:rsid w:val="00D44E21"/>
    <w:rsid w:val="00D463F4"/>
    <w:rsid w:val="00D4764D"/>
    <w:rsid w:val="00D47C56"/>
    <w:rsid w:val="00D5042E"/>
    <w:rsid w:val="00D508D3"/>
    <w:rsid w:val="00D50FC4"/>
    <w:rsid w:val="00D51030"/>
    <w:rsid w:val="00D5225F"/>
    <w:rsid w:val="00D542C4"/>
    <w:rsid w:val="00D60681"/>
    <w:rsid w:val="00D60AD0"/>
    <w:rsid w:val="00D60CC9"/>
    <w:rsid w:val="00D61296"/>
    <w:rsid w:val="00D61478"/>
    <w:rsid w:val="00D633C4"/>
    <w:rsid w:val="00D63AFA"/>
    <w:rsid w:val="00D63F4F"/>
    <w:rsid w:val="00D6417B"/>
    <w:rsid w:val="00D65B2A"/>
    <w:rsid w:val="00D65D38"/>
    <w:rsid w:val="00D66790"/>
    <w:rsid w:val="00D67BC4"/>
    <w:rsid w:val="00D710BC"/>
    <w:rsid w:val="00D73002"/>
    <w:rsid w:val="00D73160"/>
    <w:rsid w:val="00D74423"/>
    <w:rsid w:val="00D75024"/>
    <w:rsid w:val="00D75121"/>
    <w:rsid w:val="00D76006"/>
    <w:rsid w:val="00D760C2"/>
    <w:rsid w:val="00D76B75"/>
    <w:rsid w:val="00D805E9"/>
    <w:rsid w:val="00D81033"/>
    <w:rsid w:val="00D81695"/>
    <w:rsid w:val="00D81EDB"/>
    <w:rsid w:val="00D832B0"/>
    <w:rsid w:val="00D833FE"/>
    <w:rsid w:val="00D839EC"/>
    <w:rsid w:val="00D846AA"/>
    <w:rsid w:val="00D84E6D"/>
    <w:rsid w:val="00D85A80"/>
    <w:rsid w:val="00D8633D"/>
    <w:rsid w:val="00D86422"/>
    <w:rsid w:val="00D876B0"/>
    <w:rsid w:val="00D87AC8"/>
    <w:rsid w:val="00D912E2"/>
    <w:rsid w:val="00D947D6"/>
    <w:rsid w:val="00D9509D"/>
    <w:rsid w:val="00D95877"/>
    <w:rsid w:val="00D9619B"/>
    <w:rsid w:val="00D96B10"/>
    <w:rsid w:val="00D9715C"/>
    <w:rsid w:val="00D97B0E"/>
    <w:rsid w:val="00D97EB8"/>
    <w:rsid w:val="00DA0836"/>
    <w:rsid w:val="00DA1714"/>
    <w:rsid w:val="00DA1D4E"/>
    <w:rsid w:val="00DA418C"/>
    <w:rsid w:val="00DA7426"/>
    <w:rsid w:val="00DB0C95"/>
    <w:rsid w:val="00DB0D13"/>
    <w:rsid w:val="00DB0E59"/>
    <w:rsid w:val="00DB1CD1"/>
    <w:rsid w:val="00DB2FA1"/>
    <w:rsid w:val="00DB361B"/>
    <w:rsid w:val="00DB4651"/>
    <w:rsid w:val="00DB5B29"/>
    <w:rsid w:val="00DB6207"/>
    <w:rsid w:val="00DB71C1"/>
    <w:rsid w:val="00DC0C64"/>
    <w:rsid w:val="00DC13F1"/>
    <w:rsid w:val="00DC167B"/>
    <w:rsid w:val="00DC2049"/>
    <w:rsid w:val="00DC35C9"/>
    <w:rsid w:val="00DC399D"/>
    <w:rsid w:val="00DC3DD6"/>
    <w:rsid w:val="00DC4A40"/>
    <w:rsid w:val="00DC6B10"/>
    <w:rsid w:val="00DC7FA2"/>
    <w:rsid w:val="00DD02BF"/>
    <w:rsid w:val="00DD031C"/>
    <w:rsid w:val="00DD16C7"/>
    <w:rsid w:val="00DD1F11"/>
    <w:rsid w:val="00DD22BA"/>
    <w:rsid w:val="00DD25C3"/>
    <w:rsid w:val="00DD4E99"/>
    <w:rsid w:val="00DD50F6"/>
    <w:rsid w:val="00DD643D"/>
    <w:rsid w:val="00DD7153"/>
    <w:rsid w:val="00DD7DE3"/>
    <w:rsid w:val="00DE0AB2"/>
    <w:rsid w:val="00DE0D52"/>
    <w:rsid w:val="00DE2021"/>
    <w:rsid w:val="00DE3081"/>
    <w:rsid w:val="00DE3FE0"/>
    <w:rsid w:val="00DE4D1E"/>
    <w:rsid w:val="00DE5383"/>
    <w:rsid w:val="00DE53FD"/>
    <w:rsid w:val="00DE5B94"/>
    <w:rsid w:val="00DE71A9"/>
    <w:rsid w:val="00DE7DC6"/>
    <w:rsid w:val="00DF04BC"/>
    <w:rsid w:val="00DF1039"/>
    <w:rsid w:val="00DF16AA"/>
    <w:rsid w:val="00DF37FE"/>
    <w:rsid w:val="00DF3DE5"/>
    <w:rsid w:val="00DF3E40"/>
    <w:rsid w:val="00DF451A"/>
    <w:rsid w:val="00DF50A5"/>
    <w:rsid w:val="00DF5CAA"/>
    <w:rsid w:val="00DF6869"/>
    <w:rsid w:val="00DF7204"/>
    <w:rsid w:val="00E00410"/>
    <w:rsid w:val="00E005E7"/>
    <w:rsid w:val="00E00938"/>
    <w:rsid w:val="00E009BB"/>
    <w:rsid w:val="00E023CE"/>
    <w:rsid w:val="00E0308D"/>
    <w:rsid w:val="00E03427"/>
    <w:rsid w:val="00E04118"/>
    <w:rsid w:val="00E0432D"/>
    <w:rsid w:val="00E04B04"/>
    <w:rsid w:val="00E10D99"/>
    <w:rsid w:val="00E11F8D"/>
    <w:rsid w:val="00E13E5E"/>
    <w:rsid w:val="00E1574D"/>
    <w:rsid w:val="00E17A7E"/>
    <w:rsid w:val="00E17EDE"/>
    <w:rsid w:val="00E2098A"/>
    <w:rsid w:val="00E220CE"/>
    <w:rsid w:val="00E221B1"/>
    <w:rsid w:val="00E233FE"/>
    <w:rsid w:val="00E234C3"/>
    <w:rsid w:val="00E2371F"/>
    <w:rsid w:val="00E253C0"/>
    <w:rsid w:val="00E26BD0"/>
    <w:rsid w:val="00E27B09"/>
    <w:rsid w:val="00E308AA"/>
    <w:rsid w:val="00E31936"/>
    <w:rsid w:val="00E322BB"/>
    <w:rsid w:val="00E325B6"/>
    <w:rsid w:val="00E32695"/>
    <w:rsid w:val="00E33EDC"/>
    <w:rsid w:val="00E3480A"/>
    <w:rsid w:val="00E35D32"/>
    <w:rsid w:val="00E36296"/>
    <w:rsid w:val="00E37B29"/>
    <w:rsid w:val="00E37DDD"/>
    <w:rsid w:val="00E401AD"/>
    <w:rsid w:val="00E412B2"/>
    <w:rsid w:val="00E418F8"/>
    <w:rsid w:val="00E42592"/>
    <w:rsid w:val="00E43251"/>
    <w:rsid w:val="00E43DA1"/>
    <w:rsid w:val="00E44481"/>
    <w:rsid w:val="00E4546B"/>
    <w:rsid w:val="00E4676F"/>
    <w:rsid w:val="00E46960"/>
    <w:rsid w:val="00E47837"/>
    <w:rsid w:val="00E51584"/>
    <w:rsid w:val="00E51E16"/>
    <w:rsid w:val="00E52B91"/>
    <w:rsid w:val="00E537F6"/>
    <w:rsid w:val="00E5523B"/>
    <w:rsid w:val="00E555E9"/>
    <w:rsid w:val="00E5658D"/>
    <w:rsid w:val="00E56C92"/>
    <w:rsid w:val="00E5707A"/>
    <w:rsid w:val="00E57CAD"/>
    <w:rsid w:val="00E608FF"/>
    <w:rsid w:val="00E617DE"/>
    <w:rsid w:val="00E61827"/>
    <w:rsid w:val="00E62417"/>
    <w:rsid w:val="00E62978"/>
    <w:rsid w:val="00E62F7A"/>
    <w:rsid w:val="00E63E5F"/>
    <w:rsid w:val="00E643C6"/>
    <w:rsid w:val="00E64D9A"/>
    <w:rsid w:val="00E65BEC"/>
    <w:rsid w:val="00E6676D"/>
    <w:rsid w:val="00E67258"/>
    <w:rsid w:val="00E674CE"/>
    <w:rsid w:val="00E704A2"/>
    <w:rsid w:val="00E70DD5"/>
    <w:rsid w:val="00E718E7"/>
    <w:rsid w:val="00E71C68"/>
    <w:rsid w:val="00E72731"/>
    <w:rsid w:val="00E72B9D"/>
    <w:rsid w:val="00E7357A"/>
    <w:rsid w:val="00E75B95"/>
    <w:rsid w:val="00E76E2D"/>
    <w:rsid w:val="00E7797F"/>
    <w:rsid w:val="00E779C4"/>
    <w:rsid w:val="00E77D73"/>
    <w:rsid w:val="00E82DD0"/>
    <w:rsid w:val="00E83B75"/>
    <w:rsid w:val="00E8550F"/>
    <w:rsid w:val="00E8628B"/>
    <w:rsid w:val="00E86AD1"/>
    <w:rsid w:val="00E8718D"/>
    <w:rsid w:val="00E90DB3"/>
    <w:rsid w:val="00E919D4"/>
    <w:rsid w:val="00E91ADD"/>
    <w:rsid w:val="00E95F36"/>
    <w:rsid w:val="00E966D4"/>
    <w:rsid w:val="00E9698C"/>
    <w:rsid w:val="00E97CBE"/>
    <w:rsid w:val="00EA173B"/>
    <w:rsid w:val="00EA21D7"/>
    <w:rsid w:val="00EA2E02"/>
    <w:rsid w:val="00EA3EB9"/>
    <w:rsid w:val="00EA44C6"/>
    <w:rsid w:val="00EA57B9"/>
    <w:rsid w:val="00EA7AC8"/>
    <w:rsid w:val="00EA7B06"/>
    <w:rsid w:val="00EB10BD"/>
    <w:rsid w:val="00EB1184"/>
    <w:rsid w:val="00EB197B"/>
    <w:rsid w:val="00EB2EA3"/>
    <w:rsid w:val="00EB6176"/>
    <w:rsid w:val="00EB6301"/>
    <w:rsid w:val="00EB7211"/>
    <w:rsid w:val="00EC00C7"/>
    <w:rsid w:val="00EC22BB"/>
    <w:rsid w:val="00EC2BD6"/>
    <w:rsid w:val="00EC311F"/>
    <w:rsid w:val="00EC322D"/>
    <w:rsid w:val="00EC4872"/>
    <w:rsid w:val="00EC4AF5"/>
    <w:rsid w:val="00EC52BE"/>
    <w:rsid w:val="00EC556F"/>
    <w:rsid w:val="00EC642D"/>
    <w:rsid w:val="00ED098C"/>
    <w:rsid w:val="00ED1157"/>
    <w:rsid w:val="00ED1476"/>
    <w:rsid w:val="00ED1DC8"/>
    <w:rsid w:val="00ED2099"/>
    <w:rsid w:val="00ED2B13"/>
    <w:rsid w:val="00ED30C1"/>
    <w:rsid w:val="00ED35D1"/>
    <w:rsid w:val="00ED42F5"/>
    <w:rsid w:val="00ED46D5"/>
    <w:rsid w:val="00ED4BB7"/>
    <w:rsid w:val="00ED4F19"/>
    <w:rsid w:val="00ED78B8"/>
    <w:rsid w:val="00EE0F65"/>
    <w:rsid w:val="00EE1D2C"/>
    <w:rsid w:val="00EE2D71"/>
    <w:rsid w:val="00EE3AAC"/>
    <w:rsid w:val="00EE44BA"/>
    <w:rsid w:val="00EE4996"/>
    <w:rsid w:val="00EE5383"/>
    <w:rsid w:val="00EE54F9"/>
    <w:rsid w:val="00EE69BE"/>
    <w:rsid w:val="00EE6A54"/>
    <w:rsid w:val="00EE6D2D"/>
    <w:rsid w:val="00EE7402"/>
    <w:rsid w:val="00EF0A3B"/>
    <w:rsid w:val="00EF1A06"/>
    <w:rsid w:val="00EF246A"/>
    <w:rsid w:val="00EF287D"/>
    <w:rsid w:val="00EF33A3"/>
    <w:rsid w:val="00EF398B"/>
    <w:rsid w:val="00EF3BFC"/>
    <w:rsid w:val="00EF3EE6"/>
    <w:rsid w:val="00EF6D49"/>
    <w:rsid w:val="00EF7284"/>
    <w:rsid w:val="00EF75BF"/>
    <w:rsid w:val="00F010CF"/>
    <w:rsid w:val="00F04623"/>
    <w:rsid w:val="00F05376"/>
    <w:rsid w:val="00F05537"/>
    <w:rsid w:val="00F05EF5"/>
    <w:rsid w:val="00F115BE"/>
    <w:rsid w:val="00F118C3"/>
    <w:rsid w:val="00F12021"/>
    <w:rsid w:val="00F12039"/>
    <w:rsid w:val="00F15361"/>
    <w:rsid w:val="00F162FD"/>
    <w:rsid w:val="00F16358"/>
    <w:rsid w:val="00F16A78"/>
    <w:rsid w:val="00F16DDB"/>
    <w:rsid w:val="00F204B2"/>
    <w:rsid w:val="00F204B9"/>
    <w:rsid w:val="00F2126E"/>
    <w:rsid w:val="00F22AEC"/>
    <w:rsid w:val="00F22B37"/>
    <w:rsid w:val="00F22D50"/>
    <w:rsid w:val="00F2326B"/>
    <w:rsid w:val="00F23FA8"/>
    <w:rsid w:val="00F24024"/>
    <w:rsid w:val="00F2469D"/>
    <w:rsid w:val="00F24FF0"/>
    <w:rsid w:val="00F25944"/>
    <w:rsid w:val="00F25EB8"/>
    <w:rsid w:val="00F27F49"/>
    <w:rsid w:val="00F30584"/>
    <w:rsid w:val="00F30962"/>
    <w:rsid w:val="00F33176"/>
    <w:rsid w:val="00F3373F"/>
    <w:rsid w:val="00F338E7"/>
    <w:rsid w:val="00F343F5"/>
    <w:rsid w:val="00F34FA7"/>
    <w:rsid w:val="00F353B3"/>
    <w:rsid w:val="00F35EC6"/>
    <w:rsid w:val="00F3696C"/>
    <w:rsid w:val="00F36E0F"/>
    <w:rsid w:val="00F3704D"/>
    <w:rsid w:val="00F3728E"/>
    <w:rsid w:val="00F373E5"/>
    <w:rsid w:val="00F4021B"/>
    <w:rsid w:val="00F40C45"/>
    <w:rsid w:val="00F42D55"/>
    <w:rsid w:val="00F42F99"/>
    <w:rsid w:val="00F44290"/>
    <w:rsid w:val="00F44720"/>
    <w:rsid w:val="00F44CCB"/>
    <w:rsid w:val="00F452FD"/>
    <w:rsid w:val="00F45D1B"/>
    <w:rsid w:val="00F463FD"/>
    <w:rsid w:val="00F5162B"/>
    <w:rsid w:val="00F52362"/>
    <w:rsid w:val="00F52481"/>
    <w:rsid w:val="00F529A3"/>
    <w:rsid w:val="00F52F28"/>
    <w:rsid w:val="00F5397B"/>
    <w:rsid w:val="00F53BE3"/>
    <w:rsid w:val="00F53E7F"/>
    <w:rsid w:val="00F54213"/>
    <w:rsid w:val="00F546A7"/>
    <w:rsid w:val="00F576AC"/>
    <w:rsid w:val="00F57EFB"/>
    <w:rsid w:val="00F6012D"/>
    <w:rsid w:val="00F60A01"/>
    <w:rsid w:val="00F60F83"/>
    <w:rsid w:val="00F61148"/>
    <w:rsid w:val="00F61668"/>
    <w:rsid w:val="00F6236C"/>
    <w:rsid w:val="00F6313F"/>
    <w:rsid w:val="00F637C0"/>
    <w:rsid w:val="00F64EB3"/>
    <w:rsid w:val="00F65C89"/>
    <w:rsid w:val="00F65FBC"/>
    <w:rsid w:val="00F6655B"/>
    <w:rsid w:val="00F67CA8"/>
    <w:rsid w:val="00F701F0"/>
    <w:rsid w:val="00F70CAE"/>
    <w:rsid w:val="00F733C4"/>
    <w:rsid w:val="00F7396B"/>
    <w:rsid w:val="00F73CF5"/>
    <w:rsid w:val="00F7410B"/>
    <w:rsid w:val="00F74273"/>
    <w:rsid w:val="00F74A2D"/>
    <w:rsid w:val="00F75FDB"/>
    <w:rsid w:val="00F763D5"/>
    <w:rsid w:val="00F81267"/>
    <w:rsid w:val="00F8315B"/>
    <w:rsid w:val="00F83212"/>
    <w:rsid w:val="00F8436A"/>
    <w:rsid w:val="00F8789E"/>
    <w:rsid w:val="00F87ACF"/>
    <w:rsid w:val="00F903B8"/>
    <w:rsid w:val="00F916A4"/>
    <w:rsid w:val="00F945B6"/>
    <w:rsid w:val="00F94D41"/>
    <w:rsid w:val="00F9576C"/>
    <w:rsid w:val="00F95AC5"/>
    <w:rsid w:val="00F97AB3"/>
    <w:rsid w:val="00F97EFE"/>
    <w:rsid w:val="00FA056E"/>
    <w:rsid w:val="00FA13EB"/>
    <w:rsid w:val="00FA1E60"/>
    <w:rsid w:val="00FA20A5"/>
    <w:rsid w:val="00FA2AE9"/>
    <w:rsid w:val="00FA34BC"/>
    <w:rsid w:val="00FA39FC"/>
    <w:rsid w:val="00FA69D8"/>
    <w:rsid w:val="00FB0AFC"/>
    <w:rsid w:val="00FB25A9"/>
    <w:rsid w:val="00FB35AA"/>
    <w:rsid w:val="00FB409B"/>
    <w:rsid w:val="00FB713C"/>
    <w:rsid w:val="00FC06DC"/>
    <w:rsid w:val="00FC19C1"/>
    <w:rsid w:val="00FC2266"/>
    <w:rsid w:val="00FC256C"/>
    <w:rsid w:val="00FC30F1"/>
    <w:rsid w:val="00FC3DC5"/>
    <w:rsid w:val="00FC4197"/>
    <w:rsid w:val="00FC4953"/>
    <w:rsid w:val="00FC6935"/>
    <w:rsid w:val="00FC6970"/>
    <w:rsid w:val="00FC7BF8"/>
    <w:rsid w:val="00FD0B53"/>
    <w:rsid w:val="00FD0DD7"/>
    <w:rsid w:val="00FD1555"/>
    <w:rsid w:val="00FD1A88"/>
    <w:rsid w:val="00FD1AB8"/>
    <w:rsid w:val="00FD2E3B"/>
    <w:rsid w:val="00FD30CC"/>
    <w:rsid w:val="00FD336E"/>
    <w:rsid w:val="00FD3DA6"/>
    <w:rsid w:val="00FD63BF"/>
    <w:rsid w:val="00FD7387"/>
    <w:rsid w:val="00FE1E7D"/>
    <w:rsid w:val="00FE1F9C"/>
    <w:rsid w:val="00FE324D"/>
    <w:rsid w:val="00FE3E7A"/>
    <w:rsid w:val="00FE4213"/>
    <w:rsid w:val="00FE4E40"/>
    <w:rsid w:val="00FE4E8E"/>
    <w:rsid w:val="00FE68AA"/>
    <w:rsid w:val="00FE6E48"/>
    <w:rsid w:val="00FF0357"/>
    <w:rsid w:val="00FF0F96"/>
    <w:rsid w:val="00FF1861"/>
    <w:rsid w:val="00FF1F38"/>
    <w:rsid w:val="00FF2AF1"/>
    <w:rsid w:val="00FF345E"/>
    <w:rsid w:val="00FF357D"/>
    <w:rsid w:val="00FF3FF0"/>
    <w:rsid w:val="00FF41AF"/>
    <w:rsid w:val="00FF43ED"/>
    <w:rsid w:val="00FF50A2"/>
    <w:rsid w:val="00FF5990"/>
    <w:rsid w:val="00FF7073"/>
    <w:rsid w:val="00FF7AD4"/>
    <w:rsid w:val="00FF7D92"/>
    <w:rsid w:val="00FF7E87"/>
    <w:rsid w:val="02910F37"/>
    <w:rsid w:val="0627193B"/>
    <w:rsid w:val="088B283B"/>
    <w:rsid w:val="0C1B2706"/>
    <w:rsid w:val="0F07055B"/>
    <w:rsid w:val="0F13039C"/>
    <w:rsid w:val="0F67724C"/>
    <w:rsid w:val="10BE5D60"/>
    <w:rsid w:val="10C4302F"/>
    <w:rsid w:val="10CA1679"/>
    <w:rsid w:val="195461E6"/>
    <w:rsid w:val="1BE55B42"/>
    <w:rsid w:val="1C126CDD"/>
    <w:rsid w:val="21875B03"/>
    <w:rsid w:val="279C2E53"/>
    <w:rsid w:val="284D6CAB"/>
    <w:rsid w:val="2B2039BD"/>
    <w:rsid w:val="2BBB726F"/>
    <w:rsid w:val="32D01FB3"/>
    <w:rsid w:val="38536263"/>
    <w:rsid w:val="3B025775"/>
    <w:rsid w:val="3F5435E2"/>
    <w:rsid w:val="3FA1348D"/>
    <w:rsid w:val="42256C05"/>
    <w:rsid w:val="428C13F3"/>
    <w:rsid w:val="43577481"/>
    <w:rsid w:val="44033A21"/>
    <w:rsid w:val="46042DAA"/>
    <w:rsid w:val="498954C0"/>
    <w:rsid w:val="4A275FE9"/>
    <w:rsid w:val="51B83FBE"/>
    <w:rsid w:val="55574CDA"/>
    <w:rsid w:val="56612A2C"/>
    <w:rsid w:val="57B550AB"/>
    <w:rsid w:val="58BD482F"/>
    <w:rsid w:val="5B4A486F"/>
    <w:rsid w:val="5C482F3E"/>
    <w:rsid w:val="5DD67295"/>
    <w:rsid w:val="60F146F2"/>
    <w:rsid w:val="63B11479"/>
    <w:rsid w:val="63E47D0C"/>
    <w:rsid w:val="6493130B"/>
    <w:rsid w:val="6CD51777"/>
    <w:rsid w:val="73761BD0"/>
    <w:rsid w:val="76BF021D"/>
    <w:rsid w:val="785030F6"/>
    <w:rsid w:val="79D55FA9"/>
    <w:rsid w:val="7BD429E9"/>
    <w:rsid w:val="7D8275FC"/>
    <w:rsid w:val="7E0B1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53"/>
    <w:qFormat/>
    <w:uiPriority w:val="0"/>
    <w:pPr>
      <w:keepNext/>
      <w:keepLines/>
      <w:adjustRightInd w:val="0"/>
      <w:spacing w:before="340" w:after="330" w:line="578" w:lineRule="atLeast"/>
      <w:ind w:firstLine="425"/>
      <w:textAlignment w:val="baseline"/>
      <w:outlineLvl w:val="0"/>
    </w:pPr>
    <w:rPr>
      <w:rFonts w:eastAsia="黑体"/>
      <w:b/>
      <w:kern w:val="44"/>
      <w:sz w:val="36"/>
    </w:rPr>
  </w:style>
  <w:style w:type="paragraph" w:styleId="4">
    <w:name w:val="heading 2"/>
    <w:basedOn w:val="1"/>
    <w:next w:val="1"/>
    <w:link w:val="60"/>
    <w:qFormat/>
    <w:uiPriority w:val="0"/>
    <w:pPr>
      <w:keepNext/>
      <w:keepLines/>
      <w:adjustRightInd w:val="0"/>
      <w:spacing w:before="260" w:after="260" w:line="416" w:lineRule="atLeast"/>
      <w:ind w:firstLine="425"/>
      <w:textAlignment w:val="baseline"/>
      <w:outlineLvl w:val="1"/>
    </w:pPr>
    <w:rPr>
      <w:rFonts w:ascii="Arial" w:hAnsi="Arial" w:eastAsia="黑体"/>
      <w:b/>
      <w:kern w:val="0"/>
      <w:sz w:val="32"/>
    </w:rPr>
  </w:style>
  <w:style w:type="paragraph" w:styleId="5">
    <w:name w:val="heading 3"/>
    <w:basedOn w:val="1"/>
    <w:next w:val="2"/>
    <w:link w:val="68"/>
    <w:qFormat/>
    <w:uiPriority w:val="0"/>
    <w:pPr>
      <w:keepNext/>
      <w:keepLines/>
      <w:spacing w:before="260" w:after="260" w:line="416" w:lineRule="auto"/>
      <w:outlineLvl w:val="2"/>
    </w:pPr>
    <w:rPr>
      <w:b/>
      <w:sz w:val="32"/>
    </w:rPr>
  </w:style>
  <w:style w:type="paragraph" w:styleId="6">
    <w:name w:val="heading 4"/>
    <w:basedOn w:val="1"/>
    <w:next w:val="2"/>
    <w:link w:val="73"/>
    <w:qFormat/>
    <w:uiPriority w:val="0"/>
    <w:pPr>
      <w:keepNext/>
      <w:keepLines/>
      <w:adjustRightInd w:val="0"/>
      <w:spacing w:before="280" w:after="290" w:line="376" w:lineRule="atLeast"/>
      <w:ind w:firstLine="425"/>
      <w:textAlignment w:val="baseline"/>
      <w:outlineLvl w:val="3"/>
    </w:pPr>
    <w:rPr>
      <w:rFonts w:ascii="Arial" w:hAnsi="Arial" w:eastAsia="黑体"/>
      <w:kern w:val="0"/>
      <w:sz w:val="28"/>
    </w:rPr>
  </w:style>
  <w:style w:type="paragraph" w:styleId="7">
    <w:name w:val="heading 5"/>
    <w:basedOn w:val="1"/>
    <w:next w:val="1"/>
    <w:link w:val="74"/>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80"/>
    <w:unhideWhenUsed/>
    <w:qFormat/>
    <w:uiPriority w:val="0"/>
    <w:pPr>
      <w:keepNext/>
      <w:keepLines/>
      <w:spacing w:before="240" w:after="64" w:line="320" w:lineRule="auto"/>
      <w:outlineLvl w:val="5"/>
    </w:pPr>
    <w:rPr>
      <w:rFonts w:ascii="Calibri Light" w:hAnsi="Calibri Light"/>
      <w:b/>
      <w:bCs/>
      <w:szCs w:val="24"/>
      <w:lang w:val="zh-CN"/>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58"/>
    <w:qFormat/>
    <w:uiPriority w:val="0"/>
    <w:pPr>
      <w:adjustRightInd w:val="0"/>
      <w:spacing w:before="60" w:after="60" w:line="312" w:lineRule="atLeast"/>
      <w:ind w:firstLine="420"/>
      <w:textAlignment w:val="baseline"/>
    </w:pPr>
    <w:rPr>
      <w:kern w:val="0"/>
    </w:rPr>
  </w:style>
  <w:style w:type="paragraph" w:styleId="9">
    <w:name w:val="toc 7"/>
    <w:basedOn w:val="1"/>
    <w:next w:val="1"/>
    <w:autoRedefine/>
    <w:semiHidden/>
    <w:qFormat/>
    <w:uiPriority w:val="0"/>
    <w:pPr>
      <w:ind w:left="2520"/>
    </w:pPr>
  </w:style>
  <w:style w:type="paragraph" w:styleId="10">
    <w:name w:val="Document Map"/>
    <w:basedOn w:val="1"/>
    <w:semiHidden/>
    <w:qFormat/>
    <w:uiPriority w:val="0"/>
    <w:pPr>
      <w:shd w:val="clear" w:color="auto" w:fill="000080"/>
    </w:pPr>
  </w:style>
  <w:style w:type="paragraph" w:styleId="11">
    <w:name w:val="annotation text"/>
    <w:basedOn w:val="1"/>
    <w:link w:val="55"/>
    <w:qFormat/>
    <w:uiPriority w:val="0"/>
    <w:pPr>
      <w:jc w:val="left"/>
    </w:pPr>
  </w:style>
  <w:style w:type="paragraph" w:styleId="12">
    <w:name w:val="Body Text"/>
    <w:basedOn w:val="1"/>
    <w:qFormat/>
    <w:uiPriority w:val="0"/>
    <w:pPr>
      <w:spacing w:after="120"/>
    </w:pPr>
  </w:style>
  <w:style w:type="paragraph" w:styleId="13">
    <w:name w:val="Body Text Indent"/>
    <w:basedOn w:val="1"/>
    <w:qFormat/>
    <w:uiPriority w:val="0"/>
    <w:pPr>
      <w:ind w:firstLine="430"/>
    </w:pPr>
    <w:rPr>
      <w:rFonts w:ascii="黑体" w:eastAsia="黑体"/>
    </w:rPr>
  </w:style>
  <w:style w:type="paragraph" w:styleId="14">
    <w:name w:val="toc 5"/>
    <w:basedOn w:val="1"/>
    <w:next w:val="1"/>
    <w:autoRedefine/>
    <w:semiHidden/>
    <w:qFormat/>
    <w:uiPriority w:val="0"/>
    <w:pPr>
      <w:ind w:left="1680"/>
    </w:pPr>
  </w:style>
  <w:style w:type="paragraph" w:styleId="15">
    <w:name w:val="toc 3"/>
    <w:basedOn w:val="1"/>
    <w:next w:val="1"/>
    <w:autoRedefine/>
    <w:qFormat/>
    <w:uiPriority w:val="39"/>
    <w:pPr>
      <w:ind w:left="840"/>
    </w:pPr>
  </w:style>
  <w:style w:type="paragraph" w:styleId="16">
    <w:name w:val="Plain Text"/>
    <w:basedOn w:val="1"/>
    <w:qFormat/>
    <w:uiPriority w:val="0"/>
    <w:rPr>
      <w:rFonts w:ascii="宋体" w:hAnsi="Courier New"/>
    </w:rPr>
  </w:style>
  <w:style w:type="paragraph" w:styleId="17">
    <w:name w:val="toc 8"/>
    <w:basedOn w:val="1"/>
    <w:next w:val="1"/>
    <w:autoRedefine/>
    <w:semiHidden/>
    <w:qFormat/>
    <w:uiPriority w:val="0"/>
    <w:pPr>
      <w:ind w:left="2940"/>
    </w:pPr>
  </w:style>
  <w:style w:type="paragraph" w:styleId="18">
    <w:name w:val="Date"/>
    <w:basedOn w:val="1"/>
    <w:next w:val="1"/>
    <w:qFormat/>
    <w:uiPriority w:val="0"/>
    <w:pPr>
      <w:adjustRightInd w:val="0"/>
      <w:spacing w:before="60" w:after="60" w:line="312" w:lineRule="atLeast"/>
      <w:ind w:firstLine="425"/>
      <w:textAlignment w:val="baseline"/>
    </w:pPr>
    <w:rPr>
      <w:rFonts w:ascii="Arial Narrow" w:hAnsi="Arial Narrow"/>
      <w:kern w:val="0"/>
    </w:rPr>
  </w:style>
  <w:style w:type="paragraph" w:styleId="19">
    <w:name w:val="Body Text Indent 2"/>
    <w:basedOn w:val="1"/>
    <w:qFormat/>
    <w:uiPriority w:val="0"/>
    <w:pPr>
      <w:spacing w:line="360" w:lineRule="auto"/>
      <w:ind w:firstLine="480"/>
    </w:pPr>
    <w:rPr>
      <w:rFonts w:ascii="宋体"/>
    </w:rPr>
  </w:style>
  <w:style w:type="paragraph" w:styleId="20">
    <w:name w:val="Balloon Text"/>
    <w:basedOn w:val="1"/>
    <w:semiHidden/>
    <w:qFormat/>
    <w:uiPriority w:val="0"/>
    <w:rPr>
      <w:sz w:val="18"/>
      <w:szCs w:val="18"/>
    </w:rPr>
  </w:style>
  <w:style w:type="paragraph" w:styleId="21">
    <w:name w:val="footer"/>
    <w:basedOn w:val="1"/>
    <w:link w:val="76"/>
    <w:qFormat/>
    <w:uiPriority w:val="99"/>
    <w:pPr>
      <w:tabs>
        <w:tab w:val="center" w:pos="4153"/>
        <w:tab w:val="right" w:pos="8306"/>
      </w:tabs>
      <w:snapToGrid w:val="0"/>
      <w:jc w:val="left"/>
    </w:pPr>
    <w:rPr>
      <w:sz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autoRedefine/>
    <w:qFormat/>
    <w:uiPriority w:val="39"/>
    <w:pPr>
      <w:tabs>
        <w:tab w:val="right" w:leader="dot" w:pos="8494"/>
      </w:tabs>
      <w:snapToGrid w:val="0"/>
      <w:spacing w:line="360" w:lineRule="auto"/>
      <w:ind w:left="283" w:leftChars="118"/>
      <w:jc w:val="left"/>
    </w:pPr>
    <w:rPr>
      <w:rFonts w:ascii="黑体" w:eastAsia="黑体"/>
      <w:caps/>
    </w:rPr>
  </w:style>
  <w:style w:type="paragraph" w:styleId="24">
    <w:name w:val="toc 4"/>
    <w:basedOn w:val="1"/>
    <w:next w:val="1"/>
    <w:autoRedefine/>
    <w:semiHidden/>
    <w:qFormat/>
    <w:uiPriority w:val="0"/>
    <w:pPr>
      <w:ind w:left="1260"/>
    </w:pPr>
  </w:style>
  <w:style w:type="paragraph" w:styleId="25">
    <w:name w:val="toc 6"/>
    <w:basedOn w:val="1"/>
    <w:next w:val="1"/>
    <w:autoRedefine/>
    <w:semiHidden/>
    <w:qFormat/>
    <w:uiPriority w:val="0"/>
    <w:pPr>
      <w:ind w:left="2100"/>
    </w:pPr>
  </w:style>
  <w:style w:type="paragraph" w:styleId="26">
    <w:name w:val="Body Text Indent 3"/>
    <w:basedOn w:val="1"/>
    <w:qFormat/>
    <w:uiPriority w:val="0"/>
    <w:pPr>
      <w:ind w:firstLine="645"/>
    </w:pPr>
    <w:rPr>
      <w:rFonts w:ascii="宋体"/>
    </w:rPr>
  </w:style>
  <w:style w:type="paragraph" w:styleId="27">
    <w:name w:val="table of figures"/>
    <w:basedOn w:val="1"/>
    <w:next w:val="1"/>
    <w:semiHidden/>
    <w:qFormat/>
    <w:uiPriority w:val="0"/>
    <w:pPr>
      <w:ind w:left="200" w:leftChars="200" w:hanging="200" w:hangingChars="200"/>
    </w:pPr>
  </w:style>
  <w:style w:type="paragraph" w:styleId="28">
    <w:name w:val="toc 2"/>
    <w:basedOn w:val="1"/>
    <w:next w:val="1"/>
    <w:autoRedefine/>
    <w:qFormat/>
    <w:uiPriority w:val="39"/>
    <w:pPr>
      <w:tabs>
        <w:tab w:val="right" w:leader="dot" w:pos="8931"/>
      </w:tabs>
      <w:snapToGrid w:val="0"/>
      <w:spacing w:line="360" w:lineRule="auto"/>
      <w:ind w:left="240"/>
      <w:jc w:val="left"/>
    </w:pPr>
    <w:rPr>
      <w:rFonts w:ascii="黑体" w:hAnsi="Arial Narrow"/>
      <w:smallCaps/>
      <w:sz w:val="21"/>
    </w:rPr>
  </w:style>
  <w:style w:type="paragraph" w:styleId="29">
    <w:name w:val="toc 9"/>
    <w:basedOn w:val="1"/>
    <w:next w:val="1"/>
    <w:autoRedefine/>
    <w:semiHidden/>
    <w:qFormat/>
    <w:uiPriority w:val="0"/>
    <w:pPr>
      <w:ind w:left="3360"/>
    </w:pPr>
  </w:style>
  <w:style w:type="paragraph" w:styleId="30">
    <w:name w:val="Normal (Web)"/>
    <w:basedOn w:val="1"/>
    <w:link w:val="75"/>
    <w:qFormat/>
    <w:uiPriority w:val="0"/>
    <w:pPr>
      <w:widowControl/>
      <w:spacing w:before="100" w:beforeAutospacing="1" w:after="100" w:afterAutospacing="1"/>
      <w:jc w:val="left"/>
    </w:pPr>
    <w:rPr>
      <w:rFonts w:hint="eastAsia" w:ascii="宋体" w:hAnsi="宋体" w:cs="Arial Unicode MS"/>
      <w:kern w:val="0"/>
      <w:szCs w:val="24"/>
    </w:rPr>
  </w:style>
  <w:style w:type="paragraph" w:styleId="31">
    <w:name w:val="annotation subject"/>
    <w:basedOn w:val="11"/>
    <w:next w:val="11"/>
    <w:link w:val="56"/>
    <w:qFormat/>
    <w:uiPriority w:val="0"/>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semiHidden/>
    <w:qFormat/>
    <w:uiPriority w:val="0"/>
    <w:rPr>
      <w:sz w:val="21"/>
    </w:rPr>
  </w:style>
  <w:style w:type="paragraph" w:customStyle="1" w:styleId="39">
    <w:name w:val="说明1"/>
    <w:basedOn w:val="1"/>
    <w:autoRedefine/>
    <w:qFormat/>
    <w:uiPriority w:val="0"/>
    <w:pPr>
      <w:numPr>
        <w:ilvl w:val="0"/>
        <w:numId w:val="1"/>
      </w:numPr>
      <w:suppressLineNumbers/>
      <w:spacing w:line="440" w:lineRule="exact"/>
      <w:ind w:left="851" w:hanging="284"/>
    </w:pPr>
    <w:rPr>
      <w:kern w:val="21"/>
      <w:sz w:val="28"/>
    </w:rPr>
  </w:style>
  <w:style w:type="paragraph" w:customStyle="1" w:styleId="40">
    <w:name w:val="正文文本缩进 21"/>
    <w:basedOn w:val="1"/>
    <w:qFormat/>
    <w:uiPriority w:val="0"/>
    <w:pPr>
      <w:adjustRightInd w:val="0"/>
      <w:jc w:val="left"/>
      <w:textAlignment w:val="baseline"/>
    </w:pPr>
    <w:rPr>
      <w:rFonts w:eastAsia="楷体_GB2312"/>
      <w:sz w:val="30"/>
    </w:rPr>
  </w:style>
  <w:style w:type="paragraph" w:customStyle="1" w:styleId="41">
    <w:name w:val="zw"/>
    <w:basedOn w:val="1"/>
    <w:qFormat/>
    <w:uiPriority w:val="0"/>
    <w:pPr>
      <w:autoSpaceDE w:val="0"/>
      <w:autoSpaceDN w:val="0"/>
      <w:adjustRightInd w:val="0"/>
      <w:spacing w:before="60" w:after="60" w:line="440" w:lineRule="atLeast"/>
      <w:ind w:firstLine="601"/>
      <w:textAlignment w:val="bottom"/>
    </w:pPr>
    <w:rPr>
      <w:rFonts w:ascii="Arial Narrow" w:hAnsi="Arial" w:eastAsia="昆仑楷体"/>
      <w:kern w:val="0"/>
      <w:sz w:val="28"/>
    </w:rPr>
  </w:style>
  <w:style w:type="paragraph" w:customStyle="1" w:styleId="42">
    <w:name w:val="ZW1"/>
    <w:basedOn w:val="1"/>
    <w:qFormat/>
    <w:uiPriority w:val="0"/>
    <w:pPr>
      <w:spacing w:before="120" w:line="360" w:lineRule="auto"/>
      <w:ind w:firstLine="567"/>
    </w:pPr>
    <w:rPr>
      <w:rFonts w:ascii="Arial Narrow" w:hAnsi="Arial Narrow"/>
    </w:rPr>
  </w:style>
  <w:style w:type="paragraph" w:customStyle="1" w:styleId="43">
    <w:name w:val="yl"/>
    <w:basedOn w:val="1"/>
    <w:autoRedefine/>
    <w:qFormat/>
    <w:uiPriority w:val="0"/>
    <w:pPr>
      <w:spacing w:line="360" w:lineRule="auto"/>
      <w:ind w:firstLine="540" w:firstLineChars="225"/>
    </w:pPr>
    <w:rPr>
      <w:rFonts w:ascii="宋体" w:hAnsi="宋体"/>
    </w:rPr>
  </w:style>
  <w:style w:type="paragraph" w:customStyle="1" w:styleId="44">
    <w:name w:val="mfont"/>
    <w:basedOn w:val="1"/>
    <w:qFormat/>
    <w:uiPriority w:val="0"/>
    <w:pPr>
      <w:widowControl/>
      <w:spacing w:before="100" w:beforeAutospacing="1" w:after="100" w:afterAutospacing="1" w:line="320" w:lineRule="atLeast"/>
      <w:jc w:val="left"/>
    </w:pPr>
    <w:rPr>
      <w:rFonts w:ascii="Arial Unicode MS" w:hAnsi="Arial Unicode MS" w:eastAsia="Arial Unicode MS" w:cs="Arial Unicode MS"/>
      <w:spacing w:val="20"/>
      <w:kern w:val="0"/>
      <w:sz w:val="21"/>
      <w:szCs w:val="21"/>
    </w:rPr>
  </w:style>
  <w:style w:type="paragraph" w:customStyle="1" w:styleId="45">
    <w:name w:val="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6">
    <w:name w:val="H2"/>
    <w:basedOn w:val="1"/>
    <w:qFormat/>
    <w:uiPriority w:val="0"/>
    <w:pPr>
      <w:widowControl/>
      <w:adjustRightInd w:val="0"/>
      <w:spacing w:before="240" w:after="240" w:line="360" w:lineRule="atLeast"/>
      <w:ind w:right="28"/>
      <w:textAlignment w:val="baseline"/>
    </w:pPr>
    <w:rPr>
      <w:rFonts w:ascii="黑体" w:eastAsia="黑体"/>
      <w:b/>
      <w:kern w:val="0"/>
      <w:sz w:val="28"/>
    </w:rPr>
  </w:style>
  <w:style w:type="paragraph" w:customStyle="1" w:styleId="47">
    <w:name w:val="_Style 41"/>
    <w:basedOn w:val="1"/>
    <w:qFormat/>
    <w:uiPriority w:val="0"/>
    <w:rPr>
      <w:rFonts w:ascii="Tahoma" w:hAnsi="Tahoma"/>
    </w:rPr>
  </w:style>
  <w:style w:type="paragraph" w:customStyle="1" w:styleId="48">
    <w:name w:val="样式1"/>
    <w:basedOn w:val="27"/>
    <w:qFormat/>
    <w:uiPriority w:val="0"/>
    <w:pPr>
      <w:adjustRightInd w:val="0"/>
      <w:ind w:left="0" w:leftChars="0" w:firstLine="0" w:firstLineChars="0"/>
      <w:jc w:val="left"/>
      <w:textAlignment w:val="baseline"/>
    </w:pPr>
    <w:rPr>
      <w:rFonts w:ascii="宋体"/>
      <w:kern w:val="0"/>
      <w:sz w:val="18"/>
      <w:szCs w:val="24"/>
    </w:rPr>
  </w:style>
  <w:style w:type="paragraph" w:customStyle="1" w:styleId="49">
    <w:name w:val="Char2 Char Char Char Char Char Char"/>
    <w:basedOn w:val="1"/>
    <w:qFormat/>
    <w:uiPriority w:val="0"/>
    <w:rPr>
      <w:rFonts w:ascii="Tahoma" w:hAnsi="Tahoma"/>
    </w:rPr>
  </w:style>
  <w:style w:type="paragraph" w:customStyle="1" w:styleId="50">
    <w:name w:val="Char Char Char Char"/>
    <w:basedOn w:val="1"/>
    <w:qFormat/>
    <w:uiPriority w:val="0"/>
    <w:rPr>
      <w:rFonts w:ascii="Tahoma" w:hAnsi="Tahoma"/>
    </w:rPr>
  </w:style>
  <w:style w:type="paragraph" w:customStyle="1" w:styleId="51">
    <w:name w:val="fig"/>
    <w:basedOn w:val="1"/>
    <w:qFormat/>
    <w:uiPriority w:val="0"/>
    <w:pPr>
      <w:adjustRightInd w:val="0"/>
      <w:spacing w:before="120" w:after="240" w:line="360" w:lineRule="atLeast"/>
      <w:jc w:val="center"/>
      <w:textAlignment w:val="baseline"/>
    </w:pPr>
    <w:rPr>
      <w:rFonts w:ascii="黑体" w:eastAsia="黑体"/>
      <w:kern w:val="0"/>
    </w:rPr>
  </w:style>
  <w:style w:type="paragraph" w:customStyle="1" w:styleId="52">
    <w:name w:val="Char"/>
    <w:basedOn w:val="1"/>
    <w:qFormat/>
    <w:uiPriority w:val="0"/>
    <w:pPr>
      <w:widowControl/>
      <w:spacing w:after="160" w:line="240" w:lineRule="exact"/>
      <w:jc w:val="left"/>
    </w:pPr>
    <w:rPr>
      <w:rFonts w:ascii="Verdana" w:hAnsi="Verdana"/>
      <w:kern w:val="0"/>
      <w:sz w:val="20"/>
      <w:lang w:eastAsia="en-US"/>
    </w:rPr>
  </w:style>
  <w:style w:type="character" w:customStyle="1" w:styleId="53">
    <w:name w:val="标题 1 字符"/>
    <w:link w:val="3"/>
    <w:qFormat/>
    <w:uiPriority w:val="0"/>
    <w:rPr>
      <w:rFonts w:eastAsia="黑体"/>
      <w:b/>
      <w:kern w:val="44"/>
      <w:sz w:val="36"/>
      <w:lang w:val="en-US" w:eastAsia="zh-CN" w:bidi="ar-SA"/>
    </w:rPr>
  </w:style>
  <w:style w:type="paragraph" w:customStyle="1" w:styleId="54">
    <w:name w:val="Char Char Char Char Char Char Char Char Char Char Char Char Char"/>
    <w:basedOn w:val="1"/>
    <w:qFormat/>
    <w:uiPriority w:val="0"/>
    <w:rPr>
      <w:rFonts w:ascii="Tahoma" w:hAnsi="Tahoma"/>
    </w:rPr>
  </w:style>
  <w:style w:type="character" w:customStyle="1" w:styleId="55">
    <w:name w:val="批注文字 字符"/>
    <w:link w:val="11"/>
    <w:qFormat/>
    <w:uiPriority w:val="0"/>
    <w:rPr>
      <w:kern w:val="2"/>
      <w:sz w:val="24"/>
    </w:rPr>
  </w:style>
  <w:style w:type="character" w:customStyle="1" w:styleId="56">
    <w:name w:val="批注主题 字符"/>
    <w:link w:val="31"/>
    <w:qFormat/>
    <w:uiPriority w:val="0"/>
    <w:rPr>
      <w:b/>
      <w:bCs/>
      <w:kern w:val="2"/>
      <w:sz w:val="24"/>
    </w:rPr>
  </w:style>
  <w:style w:type="paragraph" w:customStyle="1" w:styleId="57">
    <w:name w:val="修订1"/>
    <w:hidden/>
    <w:semiHidden/>
    <w:qFormat/>
    <w:uiPriority w:val="99"/>
    <w:rPr>
      <w:rFonts w:ascii="Times New Roman" w:hAnsi="Times New Roman" w:eastAsia="宋体" w:cs="Times New Roman"/>
      <w:kern w:val="2"/>
      <w:sz w:val="24"/>
      <w:lang w:val="en-US" w:eastAsia="zh-CN" w:bidi="ar-SA"/>
    </w:rPr>
  </w:style>
  <w:style w:type="character" w:customStyle="1" w:styleId="58">
    <w:name w:val="正文缩进 字符"/>
    <w:link w:val="2"/>
    <w:qFormat/>
    <w:uiPriority w:val="0"/>
    <w:rPr>
      <w:sz w:val="24"/>
    </w:rPr>
  </w:style>
  <w:style w:type="paragraph" w:customStyle="1" w:styleId="59">
    <w:name w:val="默认段落字体 Para Char Char Char Char Char Char Char"/>
    <w:basedOn w:val="1"/>
    <w:qFormat/>
    <w:uiPriority w:val="0"/>
    <w:rPr>
      <w:rFonts w:ascii="Tahoma" w:hAnsi="Tahoma"/>
    </w:rPr>
  </w:style>
  <w:style w:type="character" w:customStyle="1" w:styleId="60">
    <w:name w:val="标题 2 字符"/>
    <w:link w:val="4"/>
    <w:qFormat/>
    <w:uiPriority w:val="0"/>
    <w:rPr>
      <w:rFonts w:ascii="Arial" w:hAnsi="Arial" w:eastAsia="黑体"/>
      <w:b/>
      <w:sz w:val="32"/>
    </w:rPr>
  </w:style>
  <w:style w:type="paragraph" w:customStyle="1" w:styleId="61">
    <w:name w:val="Char Char1 Char Char Char Char"/>
    <w:basedOn w:val="1"/>
    <w:qFormat/>
    <w:uiPriority w:val="0"/>
    <w:rPr>
      <w:sz w:val="21"/>
      <w:szCs w:val="21"/>
    </w:rPr>
  </w:style>
  <w:style w:type="paragraph" w:styleId="62">
    <w:name w:val="List Paragraph"/>
    <w:basedOn w:val="1"/>
    <w:link w:val="84"/>
    <w:qFormat/>
    <w:uiPriority w:val="34"/>
    <w:pPr>
      <w:ind w:firstLine="420" w:firstLineChars="200"/>
    </w:pPr>
  </w:style>
  <w:style w:type="character" w:customStyle="1" w:styleId="63">
    <w:name w:val="标题 2 字符1"/>
    <w:qFormat/>
    <w:uiPriority w:val="0"/>
    <w:rPr>
      <w:rFonts w:ascii="Arial" w:hAnsi="Arial" w:eastAsia="黑体"/>
      <w:b/>
      <w:sz w:val="32"/>
    </w:rPr>
  </w:style>
  <w:style w:type="paragraph" w:customStyle="1" w:styleId="64">
    <w:name w:val="正文文本缩进1"/>
    <w:basedOn w:val="1"/>
    <w:qFormat/>
    <w:uiPriority w:val="0"/>
    <w:pPr>
      <w:snapToGrid w:val="0"/>
      <w:spacing w:line="300" w:lineRule="auto"/>
      <w:ind w:firstLine="556"/>
    </w:pPr>
    <w:rPr>
      <w:rFonts w:ascii="仿宋_GB2312" w:eastAsia="仿宋_GB2312"/>
      <w:sz w:val="28"/>
    </w:rPr>
  </w:style>
  <w:style w:type="character" w:customStyle="1" w:styleId="65">
    <w:name w:val="标题 1 Char"/>
    <w:qFormat/>
    <w:uiPriority w:val="0"/>
    <w:rPr>
      <w:rFonts w:eastAsia="黑体"/>
      <w:b/>
      <w:kern w:val="44"/>
      <w:sz w:val="36"/>
      <w:lang w:val="en-US" w:eastAsia="zh-CN" w:bidi="ar-SA"/>
    </w:rPr>
  </w:style>
  <w:style w:type="character" w:customStyle="1" w:styleId="66">
    <w:name w:val="正文缩进 Char"/>
    <w:qFormat/>
    <w:uiPriority w:val="0"/>
    <w:rPr>
      <w:sz w:val="24"/>
    </w:rPr>
  </w:style>
  <w:style w:type="character" w:customStyle="1" w:styleId="67">
    <w:name w:val="标题 2 Char"/>
    <w:qFormat/>
    <w:uiPriority w:val="0"/>
    <w:rPr>
      <w:rFonts w:ascii="Arial" w:hAnsi="Arial" w:eastAsia="黑体"/>
      <w:b/>
      <w:sz w:val="32"/>
    </w:rPr>
  </w:style>
  <w:style w:type="character" w:customStyle="1" w:styleId="68">
    <w:name w:val="标题 3 字符"/>
    <w:link w:val="5"/>
    <w:qFormat/>
    <w:uiPriority w:val="0"/>
    <w:rPr>
      <w:b/>
      <w:kern w:val="2"/>
      <w:sz w:val="32"/>
    </w:rPr>
  </w:style>
  <w:style w:type="paragraph" w:customStyle="1" w:styleId="69">
    <w:name w:val="样式5"/>
    <w:basedOn w:val="1"/>
    <w:link w:val="70"/>
    <w:qFormat/>
    <w:uiPriority w:val="0"/>
    <w:pPr>
      <w:keepNext/>
      <w:keepLines/>
      <w:spacing w:before="280" w:after="290" w:line="312" w:lineRule="exact"/>
      <w:ind w:firstLine="200" w:firstLineChars="200"/>
      <w:jc w:val="left"/>
      <w:outlineLvl w:val="4"/>
    </w:pPr>
    <w:rPr>
      <w:rFonts w:ascii="宋体" w:hAnsi="宋体"/>
      <w:b/>
      <w:bCs/>
      <w:szCs w:val="28"/>
      <w:lang w:val="zh-CN"/>
    </w:rPr>
  </w:style>
  <w:style w:type="character" w:customStyle="1" w:styleId="70">
    <w:name w:val="样式5 Char"/>
    <w:link w:val="69"/>
    <w:qFormat/>
    <w:uiPriority w:val="0"/>
    <w:rPr>
      <w:rFonts w:ascii="宋体" w:hAnsi="宋体"/>
      <w:b/>
      <w:bCs/>
      <w:kern w:val="2"/>
      <w:sz w:val="24"/>
      <w:szCs w:val="28"/>
      <w:lang w:val="zh-CN" w:eastAsia="zh-CN"/>
    </w:rPr>
  </w:style>
  <w:style w:type="paragraph" w:customStyle="1" w:styleId="71">
    <w:name w:val="样式13"/>
    <w:basedOn w:val="7"/>
    <w:link w:val="72"/>
    <w:qFormat/>
    <w:uiPriority w:val="0"/>
    <w:pPr>
      <w:suppressAutoHyphens/>
      <w:snapToGrid w:val="0"/>
      <w:spacing w:before="0" w:after="0" w:line="300" w:lineRule="auto"/>
      <w:ind w:firstLine="561"/>
    </w:pPr>
    <w:rPr>
      <w:rFonts w:ascii="仿宋_GB2312" w:hAnsi="Arial Narrow" w:eastAsia="仿宋_GB2312"/>
      <w:b w:val="0"/>
      <w:kern w:val="0"/>
      <w:lang w:val="zh-CN"/>
    </w:rPr>
  </w:style>
  <w:style w:type="character" w:customStyle="1" w:styleId="72">
    <w:name w:val="样式13 Char"/>
    <w:link w:val="71"/>
    <w:qFormat/>
    <w:uiPriority w:val="0"/>
    <w:rPr>
      <w:rFonts w:ascii="仿宋_GB2312" w:hAnsi="Arial Narrow" w:eastAsia="仿宋_GB2312"/>
      <w:bCs/>
      <w:sz w:val="28"/>
      <w:szCs w:val="28"/>
      <w:lang w:val="zh-CN" w:eastAsia="zh-CN"/>
    </w:rPr>
  </w:style>
  <w:style w:type="character" w:customStyle="1" w:styleId="73">
    <w:name w:val="标题 4 字符"/>
    <w:link w:val="6"/>
    <w:qFormat/>
    <w:uiPriority w:val="0"/>
    <w:rPr>
      <w:rFonts w:ascii="Arial" w:hAnsi="Arial" w:eastAsia="黑体"/>
      <w:sz w:val="28"/>
    </w:rPr>
  </w:style>
  <w:style w:type="character" w:customStyle="1" w:styleId="74">
    <w:name w:val="标题 5 字符"/>
    <w:basedOn w:val="34"/>
    <w:link w:val="7"/>
    <w:semiHidden/>
    <w:qFormat/>
    <w:uiPriority w:val="0"/>
    <w:rPr>
      <w:b/>
      <w:bCs/>
      <w:kern w:val="2"/>
      <w:sz w:val="28"/>
      <w:szCs w:val="28"/>
    </w:rPr>
  </w:style>
  <w:style w:type="character" w:customStyle="1" w:styleId="75">
    <w:name w:val="普通(网站) 字符"/>
    <w:link w:val="30"/>
    <w:qFormat/>
    <w:locked/>
    <w:uiPriority w:val="0"/>
    <w:rPr>
      <w:rFonts w:ascii="宋体" w:hAnsi="宋体" w:cs="Arial Unicode MS"/>
      <w:sz w:val="24"/>
      <w:szCs w:val="24"/>
    </w:rPr>
  </w:style>
  <w:style w:type="character" w:customStyle="1" w:styleId="76">
    <w:name w:val="页脚 字符"/>
    <w:basedOn w:val="34"/>
    <w:link w:val="21"/>
    <w:qFormat/>
    <w:uiPriority w:val="99"/>
    <w:rPr>
      <w:kern w:val="2"/>
      <w:sz w:val="18"/>
    </w:rPr>
  </w:style>
  <w:style w:type="character" w:customStyle="1" w:styleId="77">
    <w:name w:val="正文缩进 字符1"/>
    <w:qFormat/>
    <w:uiPriority w:val="0"/>
    <w:rPr>
      <w:sz w:val="24"/>
    </w:rPr>
  </w:style>
  <w:style w:type="character" w:customStyle="1" w:styleId="78">
    <w:name w:val="标题 6 字符"/>
    <w:basedOn w:val="34"/>
    <w:semiHidden/>
    <w:qFormat/>
    <w:uiPriority w:val="0"/>
    <w:rPr>
      <w:rFonts w:asciiTheme="majorHAnsi" w:hAnsiTheme="majorHAnsi" w:eastAsiaTheme="majorEastAsia" w:cstheme="majorBidi"/>
      <w:b/>
      <w:bCs/>
      <w:kern w:val="2"/>
      <w:sz w:val="24"/>
      <w:szCs w:val="24"/>
    </w:rPr>
  </w:style>
  <w:style w:type="character" w:customStyle="1" w:styleId="79">
    <w:name w:val="正文缩进 字符2"/>
    <w:qFormat/>
    <w:uiPriority w:val="0"/>
    <w:rPr>
      <w:sz w:val="24"/>
    </w:rPr>
  </w:style>
  <w:style w:type="character" w:customStyle="1" w:styleId="80">
    <w:name w:val="标题 6 字符1"/>
    <w:link w:val="8"/>
    <w:qFormat/>
    <w:uiPriority w:val="0"/>
    <w:rPr>
      <w:rFonts w:ascii="Calibri Light" w:hAnsi="Calibri Light"/>
      <w:b/>
      <w:bCs/>
      <w:kern w:val="2"/>
      <w:sz w:val="24"/>
      <w:szCs w:val="24"/>
      <w:lang w:val="zh-CN" w:eastAsia="zh-CN"/>
    </w:rPr>
  </w:style>
  <w:style w:type="character" w:styleId="81">
    <w:name w:val="Placeholder Text"/>
    <w:basedOn w:val="34"/>
    <w:semiHidden/>
    <w:qFormat/>
    <w:uiPriority w:val="99"/>
    <w:rPr>
      <w:color w:val="808080"/>
    </w:rPr>
  </w:style>
  <w:style w:type="paragraph" w:customStyle="1" w:styleId="82">
    <w:name w:val="修订2"/>
    <w:hidden/>
    <w:unhideWhenUsed/>
    <w:qFormat/>
    <w:uiPriority w:val="99"/>
    <w:rPr>
      <w:rFonts w:ascii="Times New Roman" w:hAnsi="Times New Roman" w:eastAsia="宋体" w:cs="Times New Roman"/>
      <w:kern w:val="2"/>
      <w:sz w:val="24"/>
      <w:lang w:val="en-US" w:eastAsia="zh-CN" w:bidi="ar-SA"/>
    </w:rPr>
  </w:style>
  <w:style w:type="paragraph" w:customStyle="1" w:styleId="83">
    <w:name w:val="p1"/>
    <w:basedOn w:val="1"/>
    <w:qFormat/>
    <w:uiPriority w:val="0"/>
    <w:pPr>
      <w:widowControl/>
      <w:spacing w:before="100" w:beforeAutospacing="1" w:after="100" w:afterAutospacing="1"/>
      <w:jc w:val="left"/>
    </w:pPr>
    <w:rPr>
      <w:rFonts w:ascii="宋体" w:hAnsi="宋体" w:cs="宋体"/>
      <w:kern w:val="0"/>
      <w:szCs w:val="24"/>
    </w:rPr>
  </w:style>
  <w:style w:type="character" w:customStyle="1" w:styleId="84">
    <w:name w:val="列表段落 字符"/>
    <w:link w:val="62"/>
    <w:qFormat/>
    <w:uiPriority w:val="34"/>
    <w:rPr>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5D80C-8F7C-4F87-BEED-82F5E84E8EC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22</Pages>
  <Words>11546</Words>
  <Characters>11971</Characters>
  <Lines>97</Lines>
  <Paragraphs>27</Paragraphs>
  <TotalTime>0</TotalTime>
  <ScaleCrop>false</ScaleCrop>
  <LinksUpToDate>false</LinksUpToDate>
  <CharactersWithSpaces>12078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2022-08-05T07:15:00Z</dcterms:created>
  <dc:creator>HHAHH</dc:creator>
  <cp:lastModifiedBy>累zzz</cp:lastModifiedBy>
  <cp:lastPrinted>2015-01-04T01:46:00Z</cp:lastPrinted>
  <dcterms:modified xsi:type="dcterms:W3CDTF">2025-12-23T01:50:33Z</dcterms:modified>
  <dc:title>报告格式</dc:title>
  <cp:revision>1542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eyJoZGlkIjoiZjFmZWIzNDg2MmIzZjExOTIzMmViNTBmYTMwYTk0ZWYiLCJ1c2VySWQiOiI0MDIwMjM1MDcifQ==</vt:lpwstr>
  </property>
  <property fmtid="{D5CDD505-2E9C-101B-9397-08002B2CF9AE}" pid="3" name="KSOProductBuildVer">
    <vt:lpwstr>2052-12.1.0.24034</vt:lpwstr>
  </property>
  <property fmtid="{D5CDD505-2E9C-101B-9397-08002B2CF9AE}" pid="4" name="ICV">
    <vt:lpwstr>ADA4A2C7139944728FEF0F9CD5D54372_12</vt:lpwstr>
  </property>
</Properties>
</file>